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2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江安县2020年县域医共体建设重点任务清单</w:t>
      </w:r>
    </w:p>
    <w:bookmarkEnd w:id="2"/>
    <w:p/>
    <w:tbl>
      <w:tblPr>
        <w:tblStyle w:val="3"/>
        <w:tblW w:w="1407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8"/>
        <w:gridCol w:w="9648"/>
        <w:gridCol w:w="1255"/>
        <w:gridCol w:w="16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478" w:type="dxa"/>
            <w:noWrap w:val="0"/>
            <w:vAlign w:val="center"/>
          </w:tcPr>
          <w:p>
            <w:pPr>
              <w:jc w:val="center"/>
              <w:rPr>
                <w:rFonts w:eastAsia="黑体"/>
                <w:bCs/>
                <w:kern w:val="0"/>
                <w:sz w:val="22"/>
                <w:szCs w:val="28"/>
              </w:rPr>
            </w:pPr>
            <w:r>
              <w:rPr>
                <w:rFonts w:eastAsia="黑体"/>
                <w:bCs/>
                <w:kern w:val="0"/>
                <w:sz w:val="22"/>
                <w:szCs w:val="28"/>
              </w:rPr>
              <w:t>重点任务</w:t>
            </w:r>
          </w:p>
        </w:tc>
        <w:tc>
          <w:tcPr>
            <w:tcW w:w="9648" w:type="dxa"/>
            <w:noWrap w:val="0"/>
            <w:vAlign w:val="center"/>
          </w:tcPr>
          <w:p>
            <w:pPr>
              <w:jc w:val="center"/>
              <w:rPr>
                <w:rFonts w:eastAsia="黑体"/>
                <w:bCs/>
                <w:kern w:val="0"/>
                <w:sz w:val="22"/>
                <w:szCs w:val="28"/>
              </w:rPr>
            </w:pPr>
            <w:r>
              <w:rPr>
                <w:rFonts w:eastAsia="黑体"/>
                <w:bCs/>
                <w:kern w:val="0"/>
                <w:sz w:val="22"/>
                <w:szCs w:val="28"/>
              </w:rPr>
              <w:t>主要内容</w:t>
            </w:r>
          </w:p>
        </w:tc>
        <w:tc>
          <w:tcPr>
            <w:tcW w:w="125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bCs/>
                <w:kern w:val="0"/>
                <w:sz w:val="22"/>
                <w:szCs w:val="28"/>
              </w:rPr>
            </w:pPr>
            <w:r>
              <w:rPr>
                <w:rFonts w:eastAsia="黑体"/>
                <w:bCs/>
                <w:kern w:val="0"/>
                <w:sz w:val="22"/>
                <w:szCs w:val="28"/>
              </w:rPr>
              <w:t>完成时限</w:t>
            </w:r>
          </w:p>
        </w:tc>
        <w:tc>
          <w:tcPr>
            <w:tcW w:w="169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bCs/>
                <w:kern w:val="0"/>
                <w:sz w:val="22"/>
                <w:szCs w:val="28"/>
              </w:rPr>
            </w:pPr>
            <w:r>
              <w:rPr>
                <w:rFonts w:eastAsia="黑体"/>
                <w:bCs/>
                <w:kern w:val="0"/>
                <w:sz w:val="22"/>
                <w:szCs w:val="28"/>
              </w:rPr>
              <w:t>牵头单位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exact"/>
          <w:jc w:val="center"/>
        </w:trPr>
        <w:tc>
          <w:tcPr>
            <w:tcW w:w="1478" w:type="dxa"/>
            <w:vMerge w:val="restart"/>
            <w:noWrap w:val="0"/>
            <w:vAlign w:val="center"/>
          </w:tcPr>
          <w:p>
            <w:pPr>
              <w:spacing w:line="320" w:lineRule="exact"/>
              <w:textAlignment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（一）机构及资源整合</w:t>
            </w:r>
          </w:p>
        </w:tc>
        <w:tc>
          <w:tcPr>
            <w:tcW w:w="9648" w:type="dxa"/>
            <w:noWrap w:val="0"/>
            <w:vAlign w:val="center"/>
          </w:tcPr>
          <w:p>
            <w:pPr>
              <w:spacing w:line="320" w:lineRule="exac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1.集团医院法定代表人兼任各分院法定代表人，完成法人证书和医疗机构执业许可证的变更</w:t>
            </w:r>
          </w:p>
        </w:tc>
        <w:tc>
          <w:tcPr>
            <w:tcW w:w="125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6月底</w:t>
            </w:r>
          </w:p>
        </w:tc>
        <w:tc>
          <w:tcPr>
            <w:tcW w:w="169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集团医院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exact"/>
          <w:jc w:val="center"/>
        </w:trPr>
        <w:tc>
          <w:tcPr>
            <w:tcW w:w="1478" w:type="dxa"/>
            <w:vMerge w:val="continue"/>
            <w:noWrap w:val="0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</w:p>
        </w:tc>
        <w:tc>
          <w:tcPr>
            <w:tcW w:w="9648" w:type="dxa"/>
            <w:noWrap w:val="0"/>
            <w:vAlign w:val="center"/>
          </w:tcPr>
          <w:p>
            <w:pPr>
              <w:spacing w:line="320" w:lineRule="exac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2.医共体内部设立党群服务、人力资源、财务管理、医保管理、物资采配、医疗服务、健康服务管理机构，实现扁平化管理，常态开展工作</w:t>
            </w:r>
          </w:p>
        </w:tc>
        <w:tc>
          <w:tcPr>
            <w:tcW w:w="125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6月</w:t>
            </w:r>
            <w:r>
              <w:rPr>
                <w:rFonts w:eastAsia="仿宋_GB2312"/>
                <w:color w:val="000000"/>
                <w:kern w:val="0"/>
                <w:sz w:val="24"/>
              </w:rPr>
              <w:t>底</w:t>
            </w:r>
          </w:p>
        </w:tc>
        <w:tc>
          <w:tcPr>
            <w:tcW w:w="169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集团医院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exact"/>
          <w:jc w:val="center"/>
        </w:trPr>
        <w:tc>
          <w:tcPr>
            <w:tcW w:w="1478" w:type="dxa"/>
            <w:vMerge w:val="continue"/>
            <w:noWrap w:val="0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</w:p>
        </w:tc>
        <w:tc>
          <w:tcPr>
            <w:tcW w:w="9648" w:type="dxa"/>
            <w:noWrap w:val="0"/>
            <w:vAlign w:val="center"/>
          </w:tcPr>
          <w:p>
            <w:pPr>
              <w:spacing w:line="320" w:lineRule="exac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3.建立机构整合后集团医院内部相关管理工作制度，开展培训</w:t>
            </w:r>
          </w:p>
        </w:tc>
        <w:tc>
          <w:tcPr>
            <w:tcW w:w="125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6月底</w:t>
            </w:r>
          </w:p>
        </w:tc>
        <w:tc>
          <w:tcPr>
            <w:tcW w:w="169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集团医院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exact"/>
          <w:jc w:val="center"/>
        </w:trPr>
        <w:tc>
          <w:tcPr>
            <w:tcW w:w="1478" w:type="dxa"/>
            <w:vMerge w:val="continue"/>
            <w:noWrap w:val="0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</w:p>
        </w:tc>
        <w:tc>
          <w:tcPr>
            <w:tcW w:w="9648" w:type="dxa"/>
            <w:noWrap w:val="0"/>
            <w:vAlign w:val="center"/>
          </w:tcPr>
          <w:p>
            <w:pPr>
              <w:spacing w:line="320" w:lineRule="exac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4.统一设置集团医院标识标牌等</w:t>
            </w:r>
          </w:p>
        </w:tc>
        <w:tc>
          <w:tcPr>
            <w:tcW w:w="125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9月底</w:t>
            </w:r>
          </w:p>
        </w:tc>
        <w:tc>
          <w:tcPr>
            <w:tcW w:w="169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集团医院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exact"/>
          <w:jc w:val="center"/>
        </w:trPr>
        <w:tc>
          <w:tcPr>
            <w:tcW w:w="1478" w:type="dxa"/>
            <w:vMerge w:val="continue"/>
            <w:noWrap w:val="0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</w:p>
        </w:tc>
        <w:tc>
          <w:tcPr>
            <w:tcW w:w="9648" w:type="dxa"/>
            <w:noWrap w:val="0"/>
            <w:vAlign w:val="center"/>
          </w:tcPr>
          <w:p>
            <w:pPr>
              <w:spacing w:line="320" w:lineRule="exac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5.落实集团医院对村卫生（站）室的一体化管理</w:t>
            </w:r>
          </w:p>
        </w:tc>
        <w:tc>
          <w:tcPr>
            <w:tcW w:w="125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12月底</w:t>
            </w:r>
          </w:p>
        </w:tc>
        <w:tc>
          <w:tcPr>
            <w:tcW w:w="169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集团医院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exact"/>
          <w:jc w:val="center"/>
        </w:trPr>
        <w:tc>
          <w:tcPr>
            <w:tcW w:w="1478" w:type="dxa"/>
            <w:vMerge w:val="continue"/>
            <w:noWrap w:val="0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</w:p>
        </w:tc>
        <w:tc>
          <w:tcPr>
            <w:tcW w:w="9648" w:type="dxa"/>
            <w:noWrap w:val="0"/>
            <w:vAlign w:val="center"/>
          </w:tcPr>
          <w:p>
            <w:pPr>
              <w:spacing w:line="320" w:lineRule="exac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6.以集团医院为单位，统一用药目录，实行统一采购；对耗材、器械等实行统一采购、统一管理</w:t>
            </w:r>
          </w:p>
        </w:tc>
        <w:tc>
          <w:tcPr>
            <w:tcW w:w="125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持续开展</w:t>
            </w:r>
          </w:p>
        </w:tc>
        <w:tc>
          <w:tcPr>
            <w:tcW w:w="169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集团医院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exact"/>
          <w:jc w:val="center"/>
        </w:trPr>
        <w:tc>
          <w:tcPr>
            <w:tcW w:w="1478" w:type="dxa"/>
            <w:vMerge w:val="continue"/>
            <w:noWrap w:val="0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</w:p>
        </w:tc>
        <w:tc>
          <w:tcPr>
            <w:tcW w:w="9648" w:type="dxa"/>
            <w:noWrap w:val="0"/>
            <w:vAlign w:val="center"/>
          </w:tcPr>
          <w:p>
            <w:pPr>
              <w:spacing w:line="320" w:lineRule="exac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7.逐步建立集团医院统一的检验、影像、心电、消毒供应等共享中心，实现集团医院内的资源共享</w:t>
            </w:r>
          </w:p>
        </w:tc>
        <w:tc>
          <w:tcPr>
            <w:tcW w:w="125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持续开展</w:t>
            </w:r>
          </w:p>
        </w:tc>
        <w:tc>
          <w:tcPr>
            <w:tcW w:w="169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集团医院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exact"/>
          <w:jc w:val="center"/>
        </w:trPr>
        <w:tc>
          <w:tcPr>
            <w:tcW w:w="1478" w:type="dxa"/>
            <w:vMerge w:val="restart"/>
            <w:noWrap w:val="0"/>
            <w:vAlign w:val="center"/>
          </w:tcPr>
          <w:p>
            <w:pPr>
              <w:widowControl/>
              <w:spacing w:line="320" w:lineRule="exact"/>
              <w:ind w:right="-78" w:rightChars="-37"/>
              <w:textAlignment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（二）完善相关管理制度</w:t>
            </w:r>
          </w:p>
        </w:tc>
        <w:tc>
          <w:tcPr>
            <w:tcW w:w="9648" w:type="dxa"/>
            <w:noWrap w:val="0"/>
            <w:vAlign w:val="center"/>
          </w:tcPr>
          <w:p>
            <w:pPr>
              <w:spacing w:line="320" w:lineRule="exac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8.制定权责清单，明确县医管委、行业主管部门、集团医院的主要职责和权责界限</w:t>
            </w:r>
          </w:p>
        </w:tc>
        <w:tc>
          <w:tcPr>
            <w:tcW w:w="125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6月底</w:t>
            </w:r>
          </w:p>
        </w:tc>
        <w:tc>
          <w:tcPr>
            <w:tcW w:w="169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县医管委办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exact"/>
          <w:jc w:val="center"/>
        </w:trPr>
        <w:tc>
          <w:tcPr>
            <w:tcW w:w="1478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ind w:right="-78" w:rightChars="-37"/>
              <w:textAlignment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9648" w:type="dxa"/>
            <w:noWrap w:val="0"/>
            <w:vAlign w:val="center"/>
          </w:tcPr>
          <w:p>
            <w:pPr>
              <w:spacing w:line="320" w:lineRule="exac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9.建立集团医院党群服务、人力资源、财务管理、医保管理、物资采配、医疗服务、健康服务、安全生产、信访维稳等管理制度</w:t>
            </w:r>
          </w:p>
        </w:tc>
        <w:tc>
          <w:tcPr>
            <w:tcW w:w="125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6月底</w:t>
            </w:r>
          </w:p>
        </w:tc>
        <w:tc>
          <w:tcPr>
            <w:tcW w:w="169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县医管委办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exact"/>
          <w:jc w:val="center"/>
        </w:trPr>
        <w:tc>
          <w:tcPr>
            <w:tcW w:w="1478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ind w:right="-78" w:rightChars="-37"/>
              <w:textAlignment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9648" w:type="dxa"/>
            <w:noWrap w:val="0"/>
            <w:vAlign w:val="center"/>
          </w:tcPr>
          <w:p>
            <w:pPr>
              <w:spacing w:line="320" w:lineRule="exac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10.集团医院完善现代医院管理制度，制定集团医院章程，建立健全集团医院内部组织机构、管理制度和议事规则，制定和完善集团医院与分院权责清单</w:t>
            </w:r>
          </w:p>
        </w:tc>
        <w:tc>
          <w:tcPr>
            <w:tcW w:w="125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7月底</w:t>
            </w:r>
          </w:p>
        </w:tc>
        <w:tc>
          <w:tcPr>
            <w:tcW w:w="169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集团医院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exact"/>
          <w:jc w:val="center"/>
        </w:trPr>
        <w:tc>
          <w:tcPr>
            <w:tcW w:w="1478" w:type="dxa"/>
            <w:vMerge w:val="continue"/>
            <w:noWrap w:val="0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</w:p>
        </w:tc>
        <w:tc>
          <w:tcPr>
            <w:tcW w:w="9648" w:type="dxa"/>
            <w:noWrap w:val="0"/>
            <w:vAlign w:val="center"/>
          </w:tcPr>
          <w:p>
            <w:pPr>
              <w:spacing w:line="320" w:lineRule="exact"/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11.实施县域医共体推进情况阶段总结和定期报告制度</w:t>
            </w:r>
          </w:p>
        </w:tc>
        <w:tc>
          <w:tcPr>
            <w:tcW w:w="125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持续开展</w:t>
            </w:r>
          </w:p>
        </w:tc>
        <w:tc>
          <w:tcPr>
            <w:tcW w:w="169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县医管委办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exact"/>
          <w:jc w:val="center"/>
        </w:trPr>
        <w:tc>
          <w:tcPr>
            <w:tcW w:w="1478" w:type="dxa"/>
            <w:vMerge w:val="continue"/>
            <w:noWrap w:val="0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</w:p>
        </w:tc>
        <w:tc>
          <w:tcPr>
            <w:tcW w:w="9648" w:type="dxa"/>
            <w:noWrap w:val="0"/>
            <w:vAlign w:val="center"/>
          </w:tcPr>
          <w:p>
            <w:pPr>
              <w:spacing w:line="320" w:lineRule="exac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12.卫生健康行政部门落实县医管委的决定，强化政策法规、行业规划、规范标准的制订和对行业的监督指导职责</w:t>
            </w:r>
          </w:p>
        </w:tc>
        <w:tc>
          <w:tcPr>
            <w:tcW w:w="125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持续开展</w:t>
            </w:r>
          </w:p>
        </w:tc>
        <w:tc>
          <w:tcPr>
            <w:tcW w:w="169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县卫生健康局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exact"/>
          <w:jc w:val="center"/>
        </w:trPr>
        <w:tc>
          <w:tcPr>
            <w:tcW w:w="1478" w:type="dxa"/>
            <w:vMerge w:val="continue"/>
            <w:noWrap w:val="0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</w:p>
        </w:tc>
        <w:tc>
          <w:tcPr>
            <w:tcW w:w="9648" w:type="dxa"/>
            <w:noWrap w:val="0"/>
            <w:vAlign w:val="center"/>
          </w:tcPr>
          <w:p>
            <w:pPr>
              <w:spacing w:line="320" w:lineRule="exac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 xml:space="preserve">13.集团医院领导班子成员按照干部管理权限管理，实行任期制、任期目标责任制和年度目标责任制 </w:t>
            </w:r>
          </w:p>
        </w:tc>
        <w:tc>
          <w:tcPr>
            <w:tcW w:w="125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持续开展</w:t>
            </w:r>
          </w:p>
        </w:tc>
        <w:tc>
          <w:tcPr>
            <w:tcW w:w="169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县委组织部</w:t>
            </w:r>
          </w:p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县卫生健康局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exact"/>
          <w:jc w:val="center"/>
        </w:trPr>
        <w:tc>
          <w:tcPr>
            <w:tcW w:w="1478" w:type="dxa"/>
            <w:vMerge w:val="restart"/>
            <w:noWrap w:val="0"/>
            <w:vAlign w:val="center"/>
          </w:tcPr>
          <w:p>
            <w:pPr>
              <w:widowControl/>
              <w:spacing w:line="320" w:lineRule="exact"/>
              <w:ind w:right="-78" w:rightChars="-37"/>
              <w:textAlignment w:val="center"/>
              <w:rPr>
                <w:rFonts w:eastAsia="仿宋_GB2312"/>
                <w:kern w:val="0"/>
                <w:sz w:val="24"/>
              </w:rPr>
            </w:pPr>
            <w:bookmarkStart w:id="0" w:name="_Hlk2686457" w:colFirst="0" w:colLast="4"/>
            <w:r>
              <w:rPr>
                <w:rFonts w:eastAsia="仿宋_GB2312"/>
                <w:kern w:val="0"/>
                <w:sz w:val="24"/>
              </w:rPr>
              <w:t>（三）开展人事薪酬制度改革</w:t>
            </w:r>
          </w:p>
        </w:tc>
        <w:tc>
          <w:tcPr>
            <w:tcW w:w="9648" w:type="dxa"/>
            <w:noWrap w:val="0"/>
            <w:vAlign w:val="center"/>
          </w:tcPr>
          <w:p>
            <w:pPr>
              <w:spacing w:line="320" w:lineRule="exac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14.制定集团医院、各分院薪酬分配方案，并经职代会通过</w:t>
            </w:r>
          </w:p>
        </w:tc>
        <w:tc>
          <w:tcPr>
            <w:tcW w:w="125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9月底</w:t>
            </w:r>
          </w:p>
        </w:tc>
        <w:tc>
          <w:tcPr>
            <w:tcW w:w="169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集团医院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exact"/>
          <w:jc w:val="center"/>
        </w:trPr>
        <w:tc>
          <w:tcPr>
            <w:tcW w:w="1478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ind w:right="-78" w:rightChars="-37"/>
              <w:textAlignment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9648" w:type="dxa"/>
            <w:noWrap w:val="0"/>
            <w:vAlign w:val="center"/>
          </w:tcPr>
          <w:p>
            <w:pPr>
              <w:spacing w:line="320" w:lineRule="exac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15.根据《四川省关于开展公立医院薪酬制度改革试点工作的指导意见》（川人社发〔2017〕67号）和《宜宾市扩大公立医院薪酬制度改革试点工作实施方案》（宜人社办发〔2018〕205号），开展人事薪酬制度改革</w:t>
            </w:r>
          </w:p>
        </w:tc>
        <w:tc>
          <w:tcPr>
            <w:tcW w:w="125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12月底</w:t>
            </w:r>
          </w:p>
        </w:tc>
        <w:tc>
          <w:tcPr>
            <w:tcW w:w="169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县人力资源</w:t>
            </w:r>
          </w:p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社会保障局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exact"/>
          <w:jc w:val="center"/>
        </w:trPr>
        <w:tc>
          <w:tcPr>
            <w:tcW w:w="1478" w:type="dxa"/>
            <w:vMerge w:val="continue"/>
            <w:noWrap w:val="0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</w:p>
        </w:tc>
        <w:tc>
          <w:tcPr>
            <w:tcW w:w="9648" w:type="dxa"/>
            <w:noWrap w:val="0"/>
            <w:vAlign w:val="center"/>
          </w:tcPr>
          <w:p>
            <w:pPr>
              <w:spacing w:line="320" w:lineRule="exac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16.拟定集团医院岗位聘任实施方案，开展岗位聘任，签订聘任合同</w:t>
            </w:r>
          </w:p>
        </w:tc>
        <w:tc>
          <w:tcPr>
            <w:tcW w:w="125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持续开展</w:t>
            </w:r>
          </w:p>
        </w:tc>
        <w:tc>
          <w:tcPr>
            <w:tcW w:w="169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集团医院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exact"/>
          <w:jc w:val="center"/>
        </w:trPr>
        <w:tc>
          <w:tcPr>
            <w:tcW w:w="1478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9648" w:type="dxa"/>
            <w:noWrap w:val="0"/>
            <w:vAlign w:val="center"/>
          </w:tcPr>
          <w:p>
            <w:pPr>
              <w:spacing w:line="320" w:lineRule="exac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17.县医管委办制定集团医院绩效评价方案；集团医院制定七大管理中心、各分院和村卫生站（室）绩效考核细则</w:t>
            </w:r>
          </w:p>
        </w:tc>
        <w:tc>
          <w:tcPr>
            <w:tcW w:w="125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9月底</w:t>
            </w:r>
          </w:p>
        </w:tc>
        <w:tc>
          <w:tcPr>
            <w:tcW w:w="169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县医管委办</w:t>
            </w:r>
          </w:p>
          <w:p>
            <w:pPr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集团医院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exact"/>
          <w:jc w:val="center"/>
        </w:trPr>
        <w:tc>
          <w:tcPr>
            <w:tcW w:w="1478" w:type="dxa"/>
            <w:vMerge w:val="continue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9648" w:type="dxa"/>
            <w:noWrap w:val="0"/>
            <w:vAlign w:val="center"/>
          </w:tcPr>
          <w:p>
            <w:pPr>
              <w:spacing w:line="320" w:lineRule="exac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18.建立</w:t>
            </w:r>
            <w:r>
              <w:rPr>
                <w:rFonts w:eastAsia="仿宋_GB2312"/>
                <w:kern w:val="0"/>
                <w:sz w:val="24"/>
              </w:rPr>
              <w:t>集团医院</w:t>
            </w:r>
            <w:r>
              <w:rPr>
                <w:rFonts w:eastAsia="仿宋_GB2312"/>
                <w:color w:val="000000"/>
                <w:kern w:val="0"/>
                <w:sz w:val="24"/>
              </w:rPr>
              <w:t>统一的预算管理制度、会计核算制度、支出审批制度、资产管理制度、成本绩效管理办法等</w:t>
            </w:r>
          </w:p>
        </w:tc>
        <w:tc>
          <w:tcPr>
            <w:tcW w:w="125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12月底</w:t>
            </w:r>
          </w:p>
        </w:tc>
        <w:tc>
          <w:tcPr>
            <w:tcW w:w="169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集团医院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exact"/>
          <w:jc w:val="center"/>
        </w:trPr>
        <w:tc>
          <w:tcPr>
            <w:tcW w:w="1478" w:type="dxa"/>
            <w:vMerge w:val="continue"/>
            <w:noWrap w:val="0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</w:p>
        </w:tc>
        <w:tc>
          <w:tcPr>
            <w:tcW w:w="9648" w:type="dxa"/>
            <w:noWrap w:val="0"/>
            <w:vAlign w:val="center"/>
          </w:tcPr>
          <w:p>
            <w:pPr>
              <w:spacing w:line="320" w:lineRule="exac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19.开展集团医院清产核资工作；设置集团医院总账、报表，分院单独设账，实行“一本帐”报表体系</w:t>
            </w:r>
          </w:p>
        </w:tc>
        <w:tc>
          <w:tcPr>
            <w:tcW w:w="125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12月底</w:t>
            </w:r>
          </w:p>
        </w:tc>
        <w:tc>
          <w:tcPr>
            <w:tcW w:w="169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县卫生健康局</w:t>
            </w:r>
          </w:p>
          <w:p>
            <w:pPr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县财政局</w:t>
            </w:r>
          </w:p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集团医院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exact"/>
          <w:jc w:val="center"/>
        </w:trPr>
        <w:tc>
          <w:tcPr>
            <w:tcW w:w="1478" w:type="dxa"/>
            <w:vMerge w:val="continue"/>
            <w:noWrap w:val="0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</w:p>
        </w:tc>
        <w:tc>
          <w:tcPr>
            <w:tcW w:w="9648" w:type="dxa"/>
            <w:noWrap w:val="0"/>
            <w:vAlign w:val="center"/>
          </w:tcPr>
          <w:p>
            <w:pPr>
              <w:spacing w:line="320" w:lineRule="exac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20.县医管委办组织实施集团医院绩效考核评价</w:t>
            </w:r>
          </w:p>
        </w:tc>
        <w:tc>
          <w:tcPr>
            <w:tcW w:w="125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12月底</w:t>
            </w:r>
          </w:p>
        </w:tc>
        <w:tc>
          <w:tcPr>
            <w:tcW w:w="169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县医管委办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exact"/>
          <w:jc w:val="center"/>
        </w:trPr>
        <w:tc>
          <w:tcPr>
            <w:tcW w:w="1478" w:type="dxa"/>
            <w:vMerge w:val="continue"/>
            <w:noWrap w:val="0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</w:p>
        </w:tc>
        <w:tc>
          <w:tcPr>
            <w:tcW w:w="9648" w:type="dxa"/>
            <w:noWrap w:val="0"/>
            <w:vAlign w:val="center"/>
          </w:tcPr>
          <w:p>
            <w:pPr>
              <w:spacing w:line="320" w:lineRule="exac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21.县医管委确定绩效评价结果及应用，绩效考核结果与集团医院及个人绩效有机结合</w:t>
            </w:r>
          </w:p>
        </w:tc>
        <w:tc>
          <w:tcPr>
            <w:tcW w:w="125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12月底</w:t>
            </w:r>
          </w:p>
        </w:tc>
        <w:tc>
          <w:tcPr>
            <w:tcW w:w="169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县医管委办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478" w:type="dxa"/>
            <w:vMerge w:val="continue"/>
            <w:noWrap w:val="0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</w:p>
        </w:tc>
        <w:tc>
          <w:tcPr>
            <w:tcW w:w="9648" w:type="dxa"/>
            <w:noWrap w:val="0"/>
            <w:vAlign w:val="center"/>
          </w:tcPr>
          <w:p>
            <w:pPr>
              <w:spacing w:line="320" w:lineRule="exac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22.财政资金统一拨付集团医院，由集团医院结合资金性质和用途统筹使用</w:t>
            </w:r>
          </w:p>
        </w:tc>
        <w:tc>
          <w:tcPr>
            <w:tcW w:w="125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持续开展</w:t>
            </w:r>
          </w:p>
        </w:tc>
        <w:tc>
          <w:tcPr>
            <w:tcW w:w="169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集团医院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exact"/>
          <w:jc w:val="center"/>
        </w:trPr>
        <w:tc>
          <w:tcPr>
            <w:tcW w:w="1478" w:type="dxa"/>
            <w:vMerge w:val="restart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kern w:val="0"/>
                <w:sz w:val="24"/>
              </w:rPr>
            </w:pPr>
            <w:bookmarkStart w:id="1" w:name="_Hlk2686482" w:colFirst="0" w:colLast="4"/>
            <w:r>
              <w:rPr>
                <w:rFonts w:eastAsia="仿宋_GB2312"/>
                <w:color w:val="000000"/>
                <w:kern w:val="0"/>
                <w:sz w:val="24"/>
              </w:rPr>
              <w:t>（</w:t>
            </w:r>
            <w:r>
              <w:rPr>
                <w:rFonts w:hint="eastAsia" w:eastAsia="仿宋_GB2312"/>
                <w:color w:val="000000"/>
                <w:kern w:val="0"/>
                <w:sz w:val="24"/>
              </w:rPr>
              <w:t>四</w:t>
            </w:r>
            <w:r>
              <w:rPr>
                <w:rFonts w:eastAsia="仿宋_GB2312"/>
                <w:color w:val="000000"/>
                <w:kern w:val="0"/>
                <w:sz w:val="24"/>
              </w:rPr>
              <w:t>）医保支付方式改革</w:t>
            </w:r>
          </w:p>
        </w:tc>
        <w:tc>
          <w:tcPr>
            <w:tcW w:w="9648" w:type="dxa"/>
            <w:noWrap w:val="0"/>
            <w:vAlign w:val="center"/>
          </w:tcPr>
          <w:p>
            <w:pPr>
              <w:spacing w:line="320" w:lineRule="exac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23.出台县域医共体医保支付方式改革文件</w:t>
            </w:r>
          </w:p>
        </w:tc>
        <w:tc>
          <w:tcPr>
            <w:tcW w:w="125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6月底</w:t>
            </w:r>
          </w:p>
        </w:tc>
        <w:tc>
          <w:tcPr>
            <w:tcW w:w="169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县医保局</w:t>
            </w:r>
          </w:p>
        </w:tc>
      </w:tr>
      <w:bookmarkEnd w:id="1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exact"/>
          <w:jc w:val="center"/>
        </w:trPr>
        <w:tc>
          <w:tcPr>
            <w:tcW w:w="1478" w:type="dxa"/>
            <w:vMerge w:val="continue"/>
            <w:noWrap w:val="0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</w:p>
        </w:tc>
        <w:tc>
          <w:tcPr>
            <w:tcW w:w="9648" w:type="dxa"/>
            <w:noWrap w:val="0"/>
            <w:vAlign w:val="center"/>
          </w:tcPr>
          <w:p>
            <w:pPr>
              <w:spacing w:line="320" w:lineRule="exac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24.集团医院整体作为医保定点机构和医保基金预算单位，科学核定和合理安排预算总额</w:t>
            </w:r>
          </w:p>
        </w:tc>
        <w:tc>
          <w:tcPr>
            <w:tcW w:w="125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6月底</w:t>
            </w:r>
          </w:p>
        </w:tc>
        <w:tc>
          <w:tcPr>
            <w:tcW w:w="169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集团医院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exact"/>
          <w:jc w:val="center"/>
        </w:trPr>
        <w:tc>
          <w:tcPr>
            <w:tcW w:w="1478" w:type="dxa"/>
            <w:vMerge w:val="continue"/>
            <w:noWrap w:val="0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</w:p>
        </w:tc>
        <w:tc>
          <w:tcPr>
            <w:tcW w:w="9648" w:type="dxa"/>
            <w:noWrap w:val="0"/>
            <w:vAlign w:val="center"/>
          </w:tcPr>
          <w:p>
            <w:pPr>
              <w:spacing w:line="320" w:lineRule="exac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25.落实省市控费任务，完成控费目标</w:t>
            </w:r>
          </w:p>
        </w:tc>
        <w:tc>
          <w:tcPr>
            <w:tcW w:w="125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12月底</w:t>
            </w:r>
          </w:p>
        </w:tc>
        <w:tc>
          <w:tcPr>
            <w:tcW w:w="169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县医保局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exact"/>
          <w:jc w:val="center"/>
        </w:trPr>
        <w:tc>
          <w:tcPr>
            <w:tcW w:w="1478" w:type="dxa"/>
            <w:vMerge w:val="continue"/>
            <w:noWrap w:val="0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</w:p>
        </w:tc>
        <w:tc>
          <w:tcPr>
            <w:tcW w:w="9648" w:type="dxa"/>
            <w:noWrap w:val="0"/>
            <w:vAlign w:val="center"/>
          </w:tcPr>
          <w:p>
            <w:pPr>
              <w:spacing w:line="320" w:lineRule="exact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26.实施“总额预算、结余留用、超支分担”的激励约束机制</w:t>
            </w:r>
          </w:p>
        </w:tc>
        <w:tc>
          <w:tcPr>
            <w:tcW w:w="125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持续开展</w:t>
            </w:r>
          </w:p>
        </w:tc>
        <w:tc>
          <w:tcPr>
            <w:tcW w:w="169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县医保局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exact"/>
          <w:jc w:val="center"/>
        </w:trPr>
        <w:tc>
          <w:tcPr>
            <w:tcW w:w="1478" w:type="dxa"/>
            <w:vMerge w:val="restart"/>
            <w:noWrap w:val="0"/>
            <w:vAlign w:val="center"/>
          </w:tcPr>
          <w:p>
            <w:pPr>
              <w:widowControl/>
              <w:spacing w:line="320" w:lineRule="exact"/>
              <w:textAlignment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（</w:t>
            </w:r>
            <w:r>
              <w:rPr>
                <w:rFonts w:hint="eastAsia" w:eastAsia="仿宋_GB2312"/>
                <w:kern w:val="0"/>
                <w:sz w:val="24"/>
              </w:rPr>
              <w:t>五</w:t>
            </w:r>
            <w:r>
              <w:rPr>
                <w:rFonts w:eastAsia="仿宋_GB2312"/>
                <w:kern w:val="0"/>
                <w:sz w:val="24"/>
              </w:rPr>
              <w:t>）信息化建设</w:t>
            </w:r>
          </w:p>
        </w:tc>
        <w:tc>
          <w:tcPr>
            <w:tcW w:w="9648" w:type="dxa"/>
            <w:noWrap w:val="0"/>
            <w:vAlign w:val="center"/>
          </w:tcPr>
          <w:p>
            <w:pPr>
              <w:spacing w:line="320" w:lineRule="exac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27.制定县域卫生健康信息化建设方案</w:t>
            </w:r>
          </w:p>
        </w:tc>
        <w:tc>
          <w:tcPr>
            <w:tcW w:w="125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7月底</w:t>
            </w:r>
          </w:p>
        </w:tc>
        <w:tc>
          <w:tcPr>
            <w:tcW w:w="169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县卫生健康局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exact"/>
          <w:jc w:val="center"/>
        </w:trPr>
        <w:tc>
          <w:tcPr>
            <w:tcW w:w="1478" w:type="dxa"/>
            <w:vMerge w:val="continue"/>
            <w:noWrap w:val="0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</w:p>
        </w:tc>
        <w:tc>
          <w:tcPr>
            <w:tcW w:w="9648" w:type="dxa"/>
            <w:noWrap w:val="0"/>
            <w:vAlign w:val="center"/>
          </w:tcPr>
          <w:p>
            <w:pPr>
              <w:spacing w:line="320" w:lineRule="exac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28.升级改造县域</w:t>
            </w:r>
            <w:r>
              <w:rPr>
                <w:rFonts w:eastAsia="仿宋_GB2312"/>
                <w:color w:val="000000"/>
                <w:kern w:val="0"/>
                <w:sz w:val="24"/>
              </w:rPr>
              <w:t>全民健康信息平台，满足医疗业务协同、双向转诊、家庭医生签约、基层医疗卫生机构日常运行监测等需求</w:t>
            </w:r>
          </w:p>
        </w:tc>
        <w:tc>
          <w:tcPr>
            <w:tcW w:w="125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持续开展</w:t>
            </w:r>
          </w:p>
        </w:tc>
        <w:tc>
          <w:tcPr>
            <w:tcW w:w="169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县卫生健康局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exact"/>
          <w:jc w:val="center"/>
        </w:trPr>
        <w:tc>
          <w:tcPr>
            <w:tcW w:w="1478" w:type="dxa"/>
            <w:vMerge w:val="continue"/>
            <w:noWrap w:val="0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</w:p>
        </w:tc>
        <w:tc>
          <w:tcPr>
            <w:tcW w:w="9648" w:type="dxa"/>
            <w:noWrap w:val="0"/>
            <w:vAlign w:val="center"/>
          </w:tcPr>
          <w:p>
            <w:pPr>
              <w:spacing w:line="320" w:lineRule="exac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29.开展互联网+医疗健康服务；根据省市统一部署，推进电子健康卡与电子社保卡（医保卡）“两卡融合，一网通办”</w:t>
            </w:r>
          </w:p>
        </w:tc>
        <w:tc>
          <w:tcPr>
            <w:tcW w:w="125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持续开展</w:t>
            </w:r>
          </w:p>
        </w:tc>
        <w:tc>
          <w:tcPr>
            <w:tcW w:w="169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县医保局</w:t>
            </w:r>
          </w:p>
          <w:p>
            <w:pPr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县卫生健康局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exact"/>
          <w:jc w:val="center"/>
        </w:trPr>
        <w:tc>
          <w:tcPr>
            <w:tcW w:w="1478" w:type="dxa"/>
            <w:vMerge w:val="restart"/>
            <w:noWrap w:val="0"/>
            <w:vAlign w:val="center"/>
          </w:tcPr>
          <w:p>
            <w:pPr>
              <w:spacing w:before="62" w:beforeLines="20" w:line="320" w:lineRule="exact"/>
              <w:textAlignment w:val="center"/>
              <w:rPr>
                <w:rFonts w:eastAsia="仿宋_GB2312"/>
                <w:kern w:val="0"/>
                <w:sz w:val="24"/>
              </w:rPr>
            </w:pPr>
          </w:p>
          <w:p>
            <w:pPr>
              <w:spacing w:before="62" w:beforeLines="20" w:line="320" w:lineRule="exact"/>
              <w:textAlignment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（</w:t>
            </w:r>
            <w:r>
              <w:rPr>
                <w:rFonts w:hint="eastAsia" w:eastAsia="仿宋_GB2312"/>
                <w:kern w:val="0"/>
                <w:sz w:val="24"/>
              </w:rPr>
              <w:t>六</w:t>
            </w:r>
            <w:r>
              <w:rPr>
                <w:rFonts w:eastAsia="仿宋_GB2312"/>
                <w:kern w:val="0"/>
                <w:sz w:val="24"/>
              </w:rPr>
              <w:t>）</w:t>
            </w:r>
            <w:r>
              <w:rPr>
                <w:rFonts w:hint="eastAsia" w:eastAsia="仿宋_GB2312"/>
                <w:kern w:val="0"/>
                <w:sz w:val="24"/>
              </w:rPr>
              <w:t>分级诊疗和</w:t>
            </w:r>
            <w:r>
              <w:rPr>
                <w:rFonts w:eastAsia="仿宋_GB2312"/>
                <w:kern w:val="0"/>
                <w:sz w:val="24"/>
              </w:rPr>
              <w:t>能力提升</w:t>
            </w:r>
          </w:p>
        </w:tc>
        <w:tc>
          <w:tcPr>
            <w:tcW w:w="9648" w:type="dxa"/>
            <w:noWrap w:val="0"/>
            <w:vAlign w:val="center"/>
          </w:tcPr>
          <w:p>
            <w:pPr>
              <w:spacing w:line="320" w:lineRule="exac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30.完善分级诊疗实施方案，制定县域医共体县镇两级疾病诊疗目录；制定集团医院内部、集团医院之间和县域向外转诊管理办法</w:t>
            </w:r>
          </w:p>
        </w:tc>
        <w:tc>
          <w:tcPr>
            <w:tcW w:w="125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7月底</w:t>
            </w:r>
          </w:p>
        </w:tc>
        <w:tc>
          <w:tcPr>
            <w:tcW w:w="169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县卫生健康局</w:t>
            </w:r>
          </w:p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集团医院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exact"/>
          <w:jc w:val="center"/>
        </w:trPr>
        <w:tc>
          <w:tcPr>
            <w:tcW w:w="1478" w:type="dxa"/>
            <w:vMerge w:val="continue"/>
            <w:noWrap w:val="0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</w:p>
        </w:tc>
        <w:tc>
          <w:tcPr>
            <w:tcW w:w="9648" w:type="dxa"/>
            <w:noWrap w:val="0"/>
            <w:vAlign w:val="center"/>
          </w:tcPr>
          <w:p>
            <w:pPr>
              <w:spacing w:line="320" w:lineRule="exac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31.完善医共体转诊信息平台，落实机构和人员负责转诊工作，全面开展双向转诊服务</w:t>
            </w:r>
          </w:p>
        </w:tc>
        <w:tc>
          <w:tcPr>
            <w:tcW w:w="125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持续开展</w:t>
            </w:r>
          </w:p>
        </w:tc>
        <w:tc>
          <w:tcPr>
            <w:tcW w:w="169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县卫生健康局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exact"/>
          <w:jc w:val="center"/>
        </w:trPr>
        <w:tc>
          <w:tcPr>
            <w:tcW w:w="1478" w:type="dxa"/>
            <w:vMerge w:val="continue"/>
            <w:noWrap w:val="0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</w:p>
        </w:tc>
        <w:tc>
          <w:tcPr>
            <w:tcW w:w="9648" w:type="dxa"/>
            <w:noWrap w:val="0"/>
            <w:vAlign w:val="center"/>
          </w:tcPr>
          <w:p>
            <w:pPr>
              <w:spacing w:line="320" w:lineRule="exac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32.实行集团医院内医疗质量同质化管理，落实对分院技术帮扶；开展集团医院分院医务人员模块化业务培训，加强相关业务科室建设，提升基层服务能力</w:t>
            </w:r>
          </w:p>
        </w:tc>
        <w:tc>
          <w:tcPr>
            <w:tcW w:w="125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持续开展</w:t>
            </w:r>
          </w:p>
        </w:tc>
        <w:tc>
          <w:tcPr>
            <w:tcW w:w="169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集团医院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exact"/>
          <w:jc w:val="center"/>
        </w:trPr>
        <w:tc>
          <w:tcPr>
            <w:tcW w:w="1478" w:type="dxa"/>
            <w:vMerge w:val="continue"/>
            <w:noWrap w:val="0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</w:p>
        </w:tc>
        <w:tc>
          <w:tcPr>
            <w:tcW w:w="9648" w:type="dxa"/>
            <w:noWrap w:val="0"/>
            <w:vAlign w:val="center"/>
          </w:tcPr>
          <w:p>
            <w:pPr>
              <w:spacing w:line="320" w:lineRule="exac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33.加强县域胸痛、卒中、孕产妇、新生儿、中医等诊疗中心建设，推广微创外科和腔镜手术</w:t>
            </w:r>
          </w:p>
        </w:tc>
        <w:tc>
          <w:tcPr>
            <w:tcW w:w="125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持续开展</w:t>
            </w:r>
          </w:p>
        </w:tc>
        <w:tc>
          <w:tcPr>
            <w:tcW w:w="169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集团医院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exact"/>
          <w:jc w:val="center"/>
        </w:trPr>
        <w:tc>
          <w:tcPr>
            <w:tcW w:w="1478" w:type="dxa"/>
            <w:vMerge w:val="continue"/>
            <w:noWrap w:val="0"/>
            <w:vAlign w:val="center"/>
          </w:tcPr>
          <w:p>
            <w:pPr>
              <w:spacing w:line="320" w:lineRule="exact"/>
              <w:rPr>
                <w:rFonts w:eastAsia="仿宋_GB2312"/>
                <w:sz w:val="24"/>
              </w:rPr>
            </w:pPr>
          </w:p>
        </w:tc>
        <w:tc>
          <w:tcPr>
            <w:tcW w:w="9648" w:type="dxa"/>
            <w:noWrap w:val="0"/>
            <w:vAlign w:val="center"/>
          </w:tcPr>
          <w:p>
            <w:pPr>
              <w:spacing w:line="320" w:lineRule="exac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34.集团医院加强与城市三级医院建立紧密型医联体，实现精准下沉、精准提升</w:t>
            </w:r>
          </w:p>
        </w:tc>
        <w:tc>
          <w:tcPr>
            <w:tcW w:w="125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持续开展</w:t>
            </w:r>
          </w:p>
        </w:tc>
        <w:tc>
          <w:tcPr>
            <w:tcW w:w="169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集团医院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exact"/>
          <w:jc w:val="center"/>
        </w:trPr>
        <w:tc>
          <w:tcPr>
            <w:tcW w:w="1478" w:type="dxa"/>
            <w:vMerge w:val="restart"/>
            <w:noWrap w:val="0"/>
            <w:vAlign w:val="center"/>
          </w:tcPr>
          <w:p>
            <w:pPr>
              <w:spacing w:line="320" w:lineRule="exact"/>
              <w:textAlignment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（</w:t>
            </w:r>
            <w:r>
              <w:rPr>
                <w:rFonts w:hint="eastAsia" w:eastAsia="仿宋_GB2312"/>
                <w:kern w:val="0"/>
                <w:sz w:val="24"/>
              </w:rPr>
              <w:t>七</w:t>
            </w:r>
            <w:r>
              <w:rPr>
                <w:rFonts w:eastAsia="仿宋_GB2312"/>
                <w:kern w:val="0"/>
                <w:sz w:val="24"/>
              </w:rPr>
              <w:t>）公共卫生服务</w:t>
            </w:r>
          </w:p>
        </w:tc>
        <w:tc>
          <w:tcPr>
            <w:tcW w:w="9648" w:type="dxa"/>
            <w:noWrap w:val="0"/>
            <w:vAlign w:val="center"/>
          </w:tcPr>
          <w:p>
            <w:pPr>
              <w:spacing w:line="320" w:lineRule="exac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35.制定集团医院公共卫生工作方案，明确任务要求，落实责任主体</w:t>
            </w:r>
          </w:p>
        </w:tc>
        <w:tc>
          <w:tcPr>
            <w:tcW w:w="125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6月底</w:t>
            </w:r>
          </w:p>
        </w:tc>
        <w:tc>
          <w:tcPr>
            <w:tcW w:w="169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集团医院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exact"/>
          <w:jc w:val="center"/>
        </w:trPr>
        <w:tc>
          <w:tcPr>
            <w:tcW w:w="1478" w:type="dxa"/>
            <w:vMerge w:val="continue"/>
            <w:noWrap w:val="0"/>
            <w:vAlign w:val="center"/>
          </w:tcPr>
          <w:p>
            <w:pPr>
              <w:spacing w:line="320" w:lineRule="exact"/>
              <w:textAlignment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9648" w:type="dxa"/>
            <w:noWrap w:val="0"/>
            <w:vAlign w:val="center"/>
          </w:tcPr>
          <w:p>
            <w:pPr>
              <w:spacing w:line="320" w:lineRule="exac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36.定</w:t>
            </w:r>
            <w:r>
              <w:rPr>
                <w:rFonts w:eastAsia="仿宋_GB2312"/>
                <w:spacing w:val="-6"/>
                <w:kern w:val="0"/>
                <w:sz w:val="24"/>
              </w:rPr>
              <w:t>期开展督导考核，依据考核结果及时拨付</w:t>
            </w:r>
            <w:r>
              <w:rPr>
                <w:rFonts w:eastAsia="仿宋_GB2312"/>
                <w:kern w:val="0"/>
                <w:sz w:val="24"/>
              </w:rPr>
              <w:t>公共卫生服务</w:t>
            </w:r>
            <w:r>
              <w:rPr>
                <w:rFonts w:eastAsia="仿宋_GB2312"/>
                <w:spacing w:val="-6"/>
                <w:kern w:val="0"/>
                <w:sz w:val="24"/>
              </w:rPr>
              <w:t>经费</w:t>
            </w:r>
          </w:p>
        </w:tc>
        <w:tc>
          <w:tcPr>
            <w:tcW w:w="125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12月底</w:t>
            </w:r>
          </w:p>
        </w:tc>
        <w:tc>
          <w:tcPr>
            <w:tcW w:w="169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县卫生健康局</w:t>
            </w:r>
            <w:r>
              <w:rPr>
                <w:rFonts w:eastAsia="仿宋_GB2312"/>
                <w:kern w:val="0"/>
                <w:sz w:val="24"/>
              </w:rPr>
              <w:t>集团医院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exact"/>
          <w:jc w:val="center"/>
        </w:trPr>
        <w:tc>
          <w:tcPr>
            <w:tcW w:w="1478" w:type="dxa"/>
            <w:vMerge w:val="continue"/>
            <w:noWrap w:val="0"/>
            <w:vAlign w:val="center"/>
          </w:tcPr>
          <w:p>
            <w:pPr>
              <w:spacing w:line="320" w:lineRule="exact"/>
              <w:textAlignment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9648" w:type="dxa"/>
            <w:noWrap w:val="0"/>
            <w:vAlign w:val="center"/>
          </w:tcPr>
          <w:p>
            <w:pPr>
              <w:spacing w:line="320" w:lineRule="exac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37.专业公共卫生机构通过人员派驻、蹲点及团队式服务、资源共享等多种形式主动融入医共体建设，强化基本公共卫生服务工作</w:t>
            </w:r>
          </w:p>
        </w:tc>
        <w:tc>
          <w:tcPr>
            <w:tcW w:w="125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持续开展</w:t>
            </w:r>
          </w:p>
        </w:tc>
        <w:tc>
          <w:tcPr>
            <w:tcW w:w="169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县卫生健康局集团医院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exact"/>
          <w:jc w:val="center"/>
        </w:trPr>
        <w:tc>
          <w:tcPr>
            <w:tcW w:w="1478" w:type="dxa"/>
            <w:vMerge w:val="continue"/>
            <w:noWrap w:val="0"/>
            <w:vAlign w:val="center"/>
          </w:tcPr>
          <w:p>
            <w:pPr>
              <w:spacing w:line="320" w:lineRule="exact"/>
              <w:textAlignment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9648" w:type="dxa"/>
            <w:noWrap w:val="0"/>
            <w:vAlign w:val="center"/>
          </w:tcPr>
          <w:p>
            <w:pPr>
              <w:spacing w:line="320" w:lineRule="exac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38.集团医院专科医生加入镇分院家庭医生签约服务团队，完善家庭医生签约服务模式，促进医防融合，做实做细家庭医生签约服务工作</w:t>
            </w:r>
          </w:p>
        </w:tc>
        <w:tc>
          <w:tcPr>
            <w:tcW w:w="125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持续开展</w:t>
            </w:r>
          </w:p>
        </w:tc>
        <w:tc>
          <w:tcPr>
            <w:tcW w:w="169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集团医院</w:t>
            </w:r>
          </w:p>
        </w:tc>
      </w:tr>
    </w:tbl>
    <w:p>
      <w:pPr>
        <w:adjustRightInd w:val="0"/>
        <w:snapToGrid w:val="0"/>
        <w:spacing w:line="540" w:lineRule="exact"/>
        <w:rPr>
          <w:rFonts w:eastAsia="仿宋_GB2312"/>
          <w:color w:val="FF0000"/>
          <w:sz w:val="32"/>
        </w:rPr>
        <w:sectPr>
          <w:pgSz w:w="16838" w:h="11906" w:orient="landscape"/>
          <w:pgMar w:top="1587" w:right="1474" w:bottom="1474" w:left="1588" w:header="1021" w:footer="1418" w:gutter="0"/>
          <w:cols w:space="720" w:num="1"/>
          <w:docGrid w:type="lines" w:linePitch="312" w:charSpace="-1052"/>
        </w:sectPr>
      </w:pPr>
    </w:p>
    <w:p>
      <w:pPr>
        <w:adjustRightInd w:val="0"/>
        <w:snapToGrid w:val="0"/>
        <w:spacing w:line="540" w:lineRule="exact"/>
        <w:rPr>
          <w:rFonts w:hint="eastAsia" w:eastAsia="仿宋_GB2312"/>
          <w:color w:val="FF0000"/>
          <w:sz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CF23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ammyli</cp:lastModifiedBy>
  <dcterms:modified xsi:type="dcterms:W3CDTF">2020-09-11T04:47:56Z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