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hAnsi="宋体" w:cs="宋体"/>
          <w:color w:val="auto"/>
          <w:highlight w:val="none"/>
        </w:rPr>
      </w:pPr>
    </w:p>
    <w:p>
      <w:pPr>
        <w:jc w:val="center"/>
        <w:rPr>
          <w:rFonts w:hint="eastAsia" w:hAnsi="宋体" w:cs="宋体"/>
          <w:b/>
          <w:color w:val="auto"/>
          <w:sz w:val="30"/>
          <w:szCs w:val="30"/>
          <w:highlight w:val="none"/>
        </w:rPr>
      </w:pPr>
    </w:p>
    <w:p>
      <w:pPr>
        <w:jc w:val="center"/>
        <w:rPr>
          <w:rFonts w:hint="eastAsia" w:hAnsi="宋体" w:cs="宋体"/>
          <w:b/>
          <w:color w:val="auto"/>
          <w:sz w:val="30"/>
          <w:szCs w:val="30"/>
          <w:highlight w:val="none"/>
          <w:lang w:val="zh-CN"/>
        </w:rPr>
      </w:pPr>
    </w:p>
    <w:p>
      <w:pPr>
        <w:pStyle w:val="6"/>
        <w:ind w:firstLine="445" w:firstLineChars="100"/>
        <w:jc w:val="center"/>
        <w:rPr>
          <w:rFonts w:hint="eastAsia" w:hAnsi="宋体" w:cs="宋体"/>
          <w:b/>
          <w:sz w:val="44"/>
          <w:szCs w:val="44"/>
          <w:lang w:val="en-US" w:eastAsia="zh-CN"/>
        </w:rPr>
      </w:pPr>
      <w:r>
        <w:rPr>
          <w:rFonts w:hint="eastAsia" w:hAnsi="宋体" w:cs="宋体"/>
          <w:b/>
          <w:sz w:val="44"/>
          <w:szCs w:val="44"/>
          <w:lang w:eastAsia="zh-CN"/>
        </w:rPr>
        <w:t>江安县中医</w:t>
      </w:r>
      <w:r>
        <w:rPr>
          <w:rFonts w:hint="eastAsia" w:hAnsi="宋体" w:cs="宋体"/>
          <w:b/>
          <w:sz w:val="44"/>
          <w:szCs w:val="44"/>
          <w:lang w:val="en-US" w:eastAsia="zh-CN"/>
        </w:rPr>
        <w:t>医疗健康集团医院</w:t>
      </w:r>
    </w:p>
    <w:p>
      <w:pPr>
        <w:pStyle w:val="6"/>
        <w:ind w:firstLine="445" w:firstLineChars="100"/>
        <w:jc w:val="center"/>
        <w:rPr>
          <w:rFonts w:hint="eastAsia" w:hAnsi="宋体" w:cs="宋体"/>
          <w:b/>
          <w:sz w:val="44"/>
          <w:szCs w:val="44"/>
          <w:lang w:val="en-US" w:eastAsia="zh-CN"/>
        </w:rPr>
      </w:pPr>
      <w:r>
        <w:rPr>
          <w:rFonts w:hint="eastAsia" w:hAnsi="宋体" w:cs="宋体"/>
          <w:b/>
          <w:sz w:val="44"/>
          <w:szCs w:val="44"/>
          <w:lang w:val="en-US" w:eastAsia="zh-CN"/>
        </w:rPr>
        <w:t>妇幼保健</w:t>
      </w:r>
      <w:r>
        <w:rPr>
          <w:rFonts w:hint="eastAsia" w:hAnsi="宋体" w:cs="宋体"/>
          <w:b/>
          <w:sz w:val="44"/>
          <w:szCs w:val="44"/>
          <w:lang w:eastAsia="zh-CN"/>
        </w:rPr>
        <w:t>分院</w:t>
      </w:r>
      <w:r>
        <w:rPr>
          <w:rFonts w:hint="eastAsia" w:hAnsi="宋体" w:cs="宋体"/>
          <w:b/>
          <w:sz w:val="44"/>
          <w:szCs w:val="44"/>
          <w:lang w:val="en-US" w:eastAsia="zh-CN"/>
        </w:rPr>
        <w:t>首诊信息工作站（一体机）</w:t>
      </w:r>
    </w:p>
    <w:p>
      <w:pPr>
        <w:pStyle w:val="6"/>
        <w:ind w:firstLine="445" w:firstLineChars="100"/>
        <w:jc w:val="center"/>
        <w:rPr>
          <w:rFonts w:hint="eastAsia" w:ascii="宋体" w:hAnsi="宋体" w:cs="宋体"/>
          <w:b/>
          <w:color w:val="auto"/>
          <w:sz w:val="48"/>
          <w:szCs w:val="48"/>
          <w:highlight w:val="none"/>
        </w:rPr>
      </w:pPr>
      <w:r>
        <w:rPr>
          <w:rFonts w:hint="eastAsia" w:hAnsi="宋体" w:cs="宋体"/>
          <w:b/>
          <w:sz w:val="44"/>
          <w:szCs w:val="44"/>
          <w:lang w:eastAsia="zh-CN"/>
        </w:rPr>
        <w:t>采购项目</w:t>
      </w:r>
    </w:p>
    <w:p>
      <w:pPr>
        <w:pStyle w:val="6"/>
        <w:tabs>
          <w:tab w:val="left" w:pos="7706"/>
        </w:tabs>
        <w:ind w:firstLine="0" w:firstLineChars="0"/>
        <w:rPr>
          <w:rFonts w:hint="eastAsia" w:ascii="宋体" w:hAnsi="宋体" w:eastAsia="宋体" w:cs="宋体"/>
          <w:b/>
          <w:color w:val="auto"/>
          <w:sz w:val="48"/>
          <w:szCs w:val="48"/>
          <w:highlight w:val="none"/>
          <w:lang w:eastAsia="zh-CN"/>
        </w:rPr>
      </w:pPr>
      <w:r>
        <w:rPr>
          <w:rFonts w:hint="eastAsia" w:ascii="宋体" w:hAnsi="宋体" w:cs="宋体"/>
          <w:b/>
          <w:color w:val="auto"/>
          <w:sz w:val="48"/>
          <w:szCs w:val="48"/>
          <w:highlight w:val="none"/>
          <w:lang w:eastAsia="zh-CN"/>
        </w:rPr>
        <w:tab/>
      </w:r>
    </w:p>
    <w:p>
      <w:pPr>
        <w:jc w:val="center"/>
        <w:rPr>
          <w:rFonts w:hint="eastAsia" w:hAnsi="宋体" w:cs="宋体"/>
          <w:b/>
          <w:color w:val="auto"/>
          <w:sz w:val="72"/>
          <w:szCs w:val="72"/>
          <w:highlight w:val="none"/>
        </w:rPr>
      </w:pPr>
      <w:r>
        <w:rPr>
          <w:rFonts w:hint="eastAsia" w:hAnsi="宋体" w:cs="宋体"/>
          <w:b/>
          <w:color w:val="auto"/>
          <w:sz w:val="72"/>
          <w:szCs w:val="72"/>
          <w:highlight w:val="none"/>
        </w:rPr>
        <w:t>竞争性谈判文件</w:t>
      </w:r>
    </w:p>
    <w:p>
      <w:pPr>
        <w:spacing w:line="360" w:lineRule="auto"/>
        <w:jc w:val="center"/>
        <w:rPr>
          <w:rFonts w:hint="eastAsia" w:hAnsi="宋体" w:cs="宋体"/>
          <w:b/>
          <w:color w:val="auto"/>
          <w:sz w:val="32"/>
          <w:szCs w:val="32"/>
          <w:highlight w:val="none"/>
        </w:rPr>
      </w:pPr>
    </w:p>
    <w:p>
      <w:pPr>
        <w:pStyle w:val="6"/>
        <w:ind w:firstLine="653"/>
        <w:rPr>
          <w:rFonts w:hint="eastAsia" w:ascii="宋体" w:hAnsi="宋体" w:cs="宋体"/>
          <w:b/>
          <w:color w:val="auto"/>
          <w:sz w:val="32"/>
          <w:szCs w:val="32"/>
          <w:highlight w:val="none"/>
        </w:rPr>
      </w:pPr>
    </w:p>
    <w:p>
      <w:pPr>
        <w:pStyle w:val="6"/>
        <w:ind w:firstLine="653"/>
        <w:rPr>
          <w:rFonts w:hint="eastAsia" w:ascii="宋体" w:hAnsi="宋体" w:cs="宋体"/>
          <w:b/>
          <w:color w:val="auto"/>
          <w:sz w:val="32"/>
          <w:szCs w:val="32"/>
          <w:highlight w:val="none"/>
        </w:rPr>
      </w:pPr>
    </w:p>
    <w:p>
      <w:pPr>
        <w:pStyle w:val="6"/>
        <w:ind w:firstLine="0" w:firstLineChars="0"/>
        <w:rPr>
          <w:rFonts w:hint="eastAsia" w:ascii="宋体" w:hAnsi="宋体" w:cs="宋体"/>
          <w:b/>
          <w:color w:val="auto"/>
          <w:sz w:val="32"/>
          <w:szCs w:val="32"/>
          <w:highlight w:val="none"/>
        </w:rPr>
      </w:pPr>
    </w:p>
    <w:p>
      <w:pPr>
        <w:spacing w:line="360" w:lineRule="auto"/>
        <w:jc w:val="center"/>
        <w:rPr>
          <w:rFonts w:hint="eastAsia" w:hAnsi="宋体" w:cs="宋体"/>
          <w:b/>
          <w:color w:val="auto"/>
          <w:sz w:val="32"/>
          <w:szCs w:val="32"/>
          <w:highlight w:val="none"/>
        </w:rPr>
      </w:pPr>
    </w:p>
    <w:p>
      <w:pPr>
        <w:spacing w:line="360" w:lineRule="auto"/>
        <w:jc w:val="center"/>
        <w:rPr>
          <w:rFonts w:hint="eastAsia" w:hAnsi="宋体" w:cs="宋体"/>
          <w:b/>
          <w:color w:val="auto"/>
          <w:sz w:val="32"/>
          <w:szCs w:val="32"/>
          <w:highlight w:val="none"/>
        </w:rPr>
      </w:pPr>
    </w:p>
    <w:p>
      <w:pPr>
        <w:spacing w:line="360" w:lineRule="auto"/>
        <w:jc w:val="center"/>
        <w:rPr>
          <w:rFonts w:hint="eastAsia" w:hAnsi="宋体" w:cs="宋体"/>
          <w:b/>
          <w:color w:val="auto"/>
          <w:sz w:val="32"/>
          <w:szCs w:val="32"/>
          <w:highlight w:val="none"/>
        </w:rPr>
      </w:pPr>
    </w:p>
    <w:p>
      <w:pPr>
        <w:spacing w:line="360" w:lineRule="auto"/>
        <w:jc w:val="center"/>
        <w:rPr>
          <w:rFonts w:hint="eastAsia" w:hAnsi="宋体" w:cs="宋体"/>
          <w:b/>
          <w:color w:val="auto"/>
          <w:sz w:val="32"/>
          <w:szCs w:val="32"/>
          <w:highlight w:val="none"/>
        </w:rPr>
      </w:pPr>
    </w:p>
    <w:p>
      <w:pPr>
        <w:spacing w:line="360" w:lineRule="auto"/>
        <w:jc w:val="center"/>
        <w:rPr>
          <w:rFonts w:hint="eastAsia" w:hAnsi="宋体" w:cs="宋体"/>
          <w:b/>
          <w:color w:val="auto"/>
          <w:sz w:val="32"/>
          <w:szCs w:val="32"/>
          <w:highlight w:val="none"/>
        </w:rPr>
      </w:pPr>
      <w:r>
        <w:rPr>
          <w:rFonts w:hint="eastAsia" w:hAnsi="宋体" w:cs="宋体"/>
          <w:b/>
          <w:color w:val="auto"/>
          <w:sz w:val="32"/>
          <w:szCs w:val="32"/>
          <w:highlight w:val="none"/>
        </w:rPr>
        <w:t>中国·四川（</w:t>
      </w:r>
      <w:r>
        <w:rPr>
          <w:rFonts w:hint="eastAsia" w:hAnsi="宋体" w:cs="宋体"/>
          <w:b/>
          <w:color w:val="auto"/>
          <w:sz w:val="32"/>
          <w:szCs w:val="32"/>
          <w:highlight w:val="none"/>
          <w:lang w:eastAsia="zh-CN"/>
        </w:rPr>
        <w:t>宜宾</w:t>
      </w:r>
      <w:r>
        <w:rPr>
          <w:rFonts w:hint="eastAsia" w:hAnsi="宋体" w:cs="宋体"/>
          <w:b/>
          <w:color w:val="auto"/>
          <w:sz w:val="32"/>
          <w:szCs w:val="32"/>
          <w:highlight w:val="none"/>
        </w:rPr>
        <w:t>）</w:t>
      </w:r>
    </w:p>
    <w:p>
      <w:pPr>
        <w:spacing w:line="360" w:lineRule="auto"/>
        <w:jc w:val="center"/>
        <w:rPr>
          <w:rFonts w:hint="eastAsia" w:hAnsi="宋体" w:cs="宋体"/>
          <w:b/>
          <w:color w:val="auto"/>
          <w:sz w:val="32"/>
          <w:szCs w:val="32"/>
          <w:highlight w:val="none"/>
        </w:rPr>
      </w:pPr>
      <w:r>
        <w:rPr>
          <w:rFonts w:hint="eastAsia" w:hAnsi="宋体" w:cs="宋体"/>
          <w:b/>
          <w:color w:val="auto"/>
          <w:sz w:val="32"/>
          <w:szCs w:val="32"/>
          <w:highlight w:val="none"/>
          <w:lang w:val="zh-CN"/>
        </w:rPr>
        <w:t>江安县</w:t>
      </w:r>
      <w:r>
        <w:rPr>
          <w:rFonts w:hint="eastAsia" w:hAnsi="宋体" w:cs="宋体"/>
          <w:b/>
          <w:color w:val="auto"/>
          <w:sz w:val="32"/>
          <w:szCs w:val="32"/>
          <w:highlight w:val="none"/>
          <w:lang w:val="en-US" w:eastAsia="zh-CN"/>
        </w:rPr>
        <w:t>中医医疗健康集团医院</w:t>
      </w:r>
      <w:r>
        <w:rPr>
          <w:rFonts w:hint="eastAsia" w:hAnsi="宋体" w:cs="宋体"/>
          <w:b/>
          <w:color w:val="auto"/>
          <w:sz w:val="32"/>
          <w:szCs w:val="32"/>
          <w:highlight w:val="none"/>
        </w:rPr>
        <w:t>编制</w:t>
      </w:r>
    </w:p>
    <w:p>
      <w:pPr>
        <w:spacing w:line="360" w:lineRule="auto"/>
        <w:jc w:val="center"/>
        <w:rPr>
          <w:rFonts w:hint="eastAsia" w:hAnsi="宋体" w:cs="宋体"/>
          <w:b/>
          <w:bCs/>
          <w:color w:val="auto"/>
          <w:sz w:val="32"/>
          <w:szCs w:val="32"/>
          <w:highlight w:val="none"/>
          <w:lang w:val="zh-CN"/>
        </w:rPr>
      </w:pPr>
      <w:r>
        <w:rPr>
          <w:rFonts w:hint="eastAsia" w:hAnsi="宋体" w:cs="宋体"/>
          <w:b/>
          <w:color w:val="auto"/>
          <w:sz w:val="30"/>
          <w:szCs w:val="30"/>
          <w:highlight w:val="none"/>
        </w:rPr>
        <w:t>20</w:t>
      </w:r>
      <w:r>
        <w:rPr>
          <w:rFonts w:hint="eastAsia" w:hAnsi="宋体" w:cs="宋体"/>
          <w:b/>
          <w:color w:val="auto"/>
          <w:sz w:val="30"/>
          <w:szCs w:val="30"/>
          <w:highlight w:val="none"/>
          <w:lang w:val="en-US" w:eastAsia="zh-CN"/>
        </w:rPr>
        <w:t>20</w:t>
      </w:r>
      <w:r>
        <w:rPr>
          <w:rFonts w:hint="eastAsia" w:hAnsi="宋体" w:cs="宋体"/>
          <w:b/>
          <w:color w:val="auto"/>
          <w:sz w:val="30"/>
          <w:szCs w:val="30"/>
          <w:highlight w:val="none"/>
        </w:rPr>
        <w:t>年</w:t>
      </w:r>
      <w:r>
        <w:rPr>
          <w:rFonts w:hint="eastAsia" w:hAnsi="宋体" w:cs="宋体"/>
          <w:b/>
          <w:color w:val="auto"/>
          <w:sz w:val="30"/>
          <w:szCs w:val="30"/>
          <w:highlight w:val="none"/>
          <w:lang w:val="en-US" w:eastAsia="zh-CN"/>
        </w:rPr>
        <w:t>7</w:t>
      </w:r>
      <w:r>
        <w:rPr>
          <w:rFonts w:hint="eastAsia" w:hAnsi="宋体" w:cs="宋体"/>
          <w:b/>
          <w:bCs/>
          <w:color w:val="auto"/>
          <w:sz w:val="32"/>
          <w:szCs w:val="32"/>
          <w:highlight w:val="none"/>
          <w:lang w:val="zh-CN"/>
        </w:rPr>
        <w:t>月</w:t>
      </w:r>
    </w:p>
    <w:p>
      <w:pPr>
        <w:pStyle w:val="3"/>
        <w:keepNext w:val="0"/>
        <w:keepLines w:val="0"/>
        <w:spacing w:before="260" w:after="260" w:line="360" w:lineRule="exact"/>
        <w:jc w:val="both"/>
        <w:rPr>
          <w:rFonts w:hint="eastAsia" w:ascii="宋体" w:hAnsi="宋体" w:cs="宋体"/>
          <w:bCs w:val="0"/>
          <w:color w:val="auto"/>
          <w:sz w:val="36"/>
          <w:highlight w:val="none"/>
        </w:rPr>
        <w:sectPr>
          <w:headerReference r:id="rId3" w:type="default"/>
          <w:footerReference r:id="rId4" w:type="default"/>
          <w:pgSz w:w="11850" w:h="16783"/>
          <w:pgMar w:top="1440" w:right="1083" w:bottom="1440" w:left="1083" w:header="851" w:footer="992" w:gutter="0"/>
          <w:pgNumType w:start="1"/>
          <w:cols w:space="720" w:num="1"/>
          <w:docGrid w:type="linesAndChars" w:linePitch="463" w:charSpace="1024"/>
        </w:sectPr>
      </w:pPr>
      <w:bookmarkStart w:id="0" w:name="_Hlt101233737"/>
      <w:bookmarkEnd w:id="0"/>
      <w:bookmarkStart w:id="1" w:name="_Hlt101843627"/>
      <w:bookmarkEnd w:id="1"/>
      <w:bookmarkStart w:id="2" w:name="_Toc4616413"/>
      <w:bookmarkStart w:id="3" w:name="_Toc32175_WPSOffice_Level1"/>
    </w:p>
    <w:bookmarkEnd w:id="2"/>
    <w:bookmarkEnd w:id="3"/>
    <w:p>
      <w:pPr>
        <w:spacing w:line="440" w:lineRule="exact"/>
        <w:ind w:firstLine="735" w:firstLineChars="300"/>
        <w:jc w:val="left"/>
        <w:rPr>
          <w:rFonts w:hint="eastAsia" w:hAnsi="宋体" w:cs="宋体"/>
          <w:color w:val="auto"/>
          <w:sz w:val="24"/>
          <w:szCs w:val="28"/>
          <w:highlight w:val="none"/>
        </w:rPr>
      </w:pPr>
      <w:bookmarkStart w:id="4" w:name="_Toc25057"/>
      <w:bookmarkStart w:id="5" w:name="_Toc213496267"/>
      <w:bookmarkStart w:id="6" w:name="_Toc217446031"/>
      <w:bookmarkStart w:id="7" w:name="_Toc23579"/>
      <w:bookmarkStart w:id="8" w:name="_Toc7290"/>
      <w:bookmarkStart w:id="9" w:name="_Toc213396945"/>
      <w:bookmarkStart w:id="10" w:name="_Toc29305"/>
      <w:bookmarkStart w:id="11" w:name="_Toc30590"/>
      <w:bookmarkStart w:id="12" w:name="_Toc27317"/>
      <w:bookmarkStart w:id="13" w:name="_Toc8346"/>
      <w:bookmarkStart w:id="14" w:name="_Toc4620"/>
      <w:bookmarkStart w:id="15" w:name="_Toc213396759"/>
      <w:bookmarkStart w:id="16" w:name="_Toc213397009"/>
      <w:r>
        <w:rPr>
          <w:rFonts w:hint="eastAsia" w:hAnsi="宋体" w:cs="宋体"/>
          <w:color w:val="auto"/>
          <w:sz w:val="24"/>
          <w:highlight w:val="none"/>
          <w:u w:val="single"/>
          <w:lang w:val="zh-CN"/>
        </w:rPr>
        <w:t>江安县中医医</w:t>
      </w:r>
      <w:r>
        <w:rPr>
          <w:rFonts w:hint="eastAsia" w:hAnsi="宋体" w:cs="宋体"/>
          <w:color w:val="auto"/>
          <w:sz w:val="24"/>
          <w:highlight w:val="none"/>
          <w:u w:val="single"/>
          <w:lang w:val="en-US" w:eastAsia="zh-CN"/>
        </w:rPr>
        <w:t>疗健康集团医院</w:t>
      </w:r>
      <w:r>
        <w:rPr>
          <w:rFonts w:hint="eastAsia" w:hAnsi="宋体" w:cs="宋体"/>
          <w:color w:val="auto"/>
          <w:sz w:val="24"/>
          <w:highlight w:val="none"/>
        </w:rPr>
        <w:t>拟对</w:t>
      </w:r>
      <w:r>
        <w:rPr>
          <w:rFonts w:hint="eastAsia" w:hAnsi="宋体" w:cs="宋体"/>
          <w:color w:val="auto"/>
          <w:sz w:val="24"/>
          <w:highlight w:val="none"/>
          <w:u w:val="single"/>
          <w:lang w:val="zh-CN"/>
        </w:rPr>
        <w:t>江安县中医医</w:t>
      </w:r>
      <w:r>
        <w:rPr>
          <w:rFonts w:hint="eastAsia" w:hAnsi="宋体" w:cs="宋体"/>
          <w:color w:val="auto"/>
          <w:sz w:val="24"/>
          <w:highlight w:val="none"/>
          <w:u w:val="single"/>
          <w:lang w:val="en-US" w:eastAsia="zh-CN"/>
        </w:rPr>
        <w:t>疗健康集团妇幼保健分院首诊信息工作站（一体机）</w:t>
      </w:r>
      <w:r>
        <w:rPr>
          <w:rFonts w:hint="eastAsia" w:hAnsi="宋体" w:cs="宋体"/>
          <w:color w:val="auto"/>
          <w:sz w:val="24"/>
          <w:highlight w:val="none"/>
          <w:u w:val="single"/>
          <w:lang w:eastAsia="zh-CN"/>
        </w:rPr>
        <w:t>采购项目</w:t>
      </w:r>
      <w:r>
        <w:rPr>
          <w:rFonts w:hint="eastAsia" w:hAnsi="宋体" w:cs="宋体"/>
          <w:color w:val="auto"/>
          <w:sz w:val="24"/>
          <w:szCs w:val="32"/>
          <w:highlight w:val="none"/>
        </w:rPr>
        <w:t>采用竞争性谈判</w:t>
      </w:r>
      <w:r>
        <w:rPr>
          <w:rFonts w:hint="eastAsia" w:hAnsi="宋体" w:cs="宋体"/>
          <w:color w:val="auto"/>
          <w:sz w:val="24"/>
          <w:szCs w:val="32"/>
          <w:highlight w:val="none"/>
          <w:lang w:eastAsia="zh-CN"/>
        </w:rPr>
        <w:t>邀请</w:t>
      </w:r>
      <w:r>
        <w:rPr>
          <w:rFonts w:hint="eastAsia" w:hAnsi="宋体" w:cs="宋体"/>
          <w:color w:val="auto"/>
          <w:sz w:val="24"/>
          <w:szCs w:val="32"/>
          <w:highlight w:val="none"/>
        </w:rPr>
        <w:t>方式</w:t>
      </w:r>
      <w:r>
        <w:rPr>
          <w:rFonts w:hint="eastAsia" w:hAnsi="宋体" w:cs="宋体"/>
          <w:color w:val="auto"/>
          <w:sz w:val="24"/>
          <w:highlight w:val="none"/>
        </w:rPr>
        <w:t>进行采购，特</w:t>
      </w:r>
      <w:r>
        <w:rPr>
          <w:rFonts w:hint="eastAsia" w:hAnsi="宋体" w:cs="宋体"/>
          <w:color w:val="auto"/>
          <w:sz w:val="24"/>
          <w:szCs w:val="28"/>
          <w:highlight w:val="none"/>
        </w:rPr>
        <w:t>邀请符合本次采购要求的供应商参加</w:t>
      </w:r>
      <w:r>
        <w:rPr>
          <w:rFonts w:hint="eastAsia" w:hAnsi="宋体" w:cs="宋体"/>
          <w:color w:val="auto"/>
          <w:sz w:val="24"/>
          <w:highlight w:val="none"/>
        </w:rPr>
        <w:t>本项目的竞争性谈判</w:t>
      </w:r>
      <w:r>
        <w:rPr>
          <w:rFonts w:hint="eastAsia" w:hAnsi="宋体" w:cs="宋体"/>
          <w:color w:val="auto"/>
          <w:sz w:val="24"/>
          <w:szCs w:val="28"/>
          <w:highlight w:val="none"/>
        </w:rPr>
        <w:t>。</w:t>
      </w:r>
    </w:p>
    <w:p>
      <w:pPr>
        <w:spacing w:line="440" w:lineRule="exact"/>
        <w:ind w:firstLine="490" w:firstLineChars="200"/>
        <w:outlineLvl w:val="2"/>
        <w:rPr>
          <w:rFonts w:hint="eastAsia" w:hAnsi="宋体" w:cs="宋体"/>
          <w:b/>
          <w:bCs/>
          <w:color w:val="auto"/>
          <w:sz w:val="24"/>
          <w:highlight w:val="none"/>
        </w:rPr>
      </w:pPr>
      <w:bookmarkStart w:id="17" w:name="_Toc4616414"/>
      <w:r>
        <w:rPr>
          <w:rFonts w:hint="eastAsia" w:hAnsi="宋体" w:cs="宋体"/>
          <w:b/>
          <w:bCs/>
          <w:color w:val="auto"/>
          <w:sz w:val="24"/>
          <w:highlight w:val="none"/>
        </w:rPr>
        <w:t>一、采购项目基本情况</w:t>
      </w:r>
      <w:bookmarkEnd w:id="17"/>
    </w:p>
    <w:p>
      <w:pPr>
        <w:spacing w:line="440" w:lineRule="exact"/>
        <w:ind w:firstLine="490" w:firstLineChars="200"/>
        <w:rPr>
          <w:rFonts w:hint="eastAsia" w:hAnsi="宋体" w:cs="宋体"/>
          <w:color w:val="auto"/>
          <w:sz w:val="24"/>
          <w:highlight w:val="none"/>
          <w:u w:val="single"/>
          <w:lang w:eastAsia="zh-CN"/>
        </w:rPr>
      </w:pPr>
      <w:r>
        <w:rPr>
          <w:rFonts w:hint="eastAsia" w:hAnsi="宋体" w:cs="宋体"/>
          <w:color w:val="auto"/>
          <w:sz w:val="24"/>
          <w:highlight w:val="none"/>
          <w:lang w:val="en-US" w:eastAsia="zh-CN"/>
        </w:rPr>
        <w:t>1</w:t>
      </w:r>
      <w:r>
        <w:rPr>
          <w:rFonts w:hint="eastAsia" w:hAnsi="宋体" w:cs="宋体"/>
          <w:color w:val="auto"/>
          <w:sz w:val="24"/>
          <w:highlight w:val="none"/>
        </w:rPr>
        <w:t>.采购项目名称：</w:t>
      </w:r>
      <w:r>
        <w:rPr>
          <w:rFonts w:hint="eastAsia" w:hAnsi="宋体" w:cs="宋体"/>
          <w:color w:val="auto"/>
          <w:sz w:val="24"/>
          <w:highlight w:val="none"/>
          <w:u w:val="single"/>
          <w:lang w:val="zh-CN"/>
        </w:rPr>
        <w:t>江安县中医医</w:t>
      </w:r>
      <w:r>
        <w:rPr>
          <w:rFonts w:hint="eastAsia" w:hAnsi="宋体" w:cs="宋体"/>
          <w:color w:val="auto"/>
          <w:sz w:val="24"/>
          <w:highlight w:val="none"/>
          <w:u w:val="single"/>
          <w:lang w:val="en-US" w:eastAsia="zh-CN"/>
        </w:rPr>
        <w:t>疗健康集团妇幼保健分院首诊信息工作站（一体机）</w:t>
      </w:r>
      <w:r>
        <w:rPr>
          <w:rFonts w:hint="eastAsia" w:hAnsi="宋体" w:cs="宋体"/>
          <w:color w:val="auto"/>
          <w:sz w:val="24"/>
          <w:highlight w:val="none"/>
          <w:u w:val="single"/>
          <w:lang w:eastAsia="zh-CN"/>
        </w:rPr>
        <w:t>采购项目</w:t>
      </w:r>
    </w:p>
    <w:p>
      <w:pPr>
        <w:spacing w:line="440" w:lineRule="exact"/>
        <w:ind w:firstLine="490" w:firstLineChars="200"/>
        <w:rPr>
          <w:rFonts w:hint="eastAsia" w:hAnsi="宋体" w:cs="宋体"/>
          <w:color w:val="auto"/>
          <w:sz w:val="24"/>
          <w:highlight w:val="none"/>
        </w:rPr>
      </w:pPr>
      <w:r>
        <w:rPr>
          <w:rFonts w:hint="eastAsia" w:hAnsi="宋体" w:cs="宋体"/>
          <w:color w:val="auto"/>
          <w:sz w:val="24"/>
          <w:highlight w:val="none"/>
          <w:lang w:val="en-US" w:eastAsia="zh-CN"/>
        </w:rPr>
        <w:t>2</w:t>
      </w:r>
      <w:r>
        <w:rPr>
          <w:rFonts w:hint="eastAsia" w:hAnsi="宋体" w:cs="宋体"/>
          <w:color w:val="auto"/>
          <w:sz w:val="24"/>
          <w:highlight w:val="none"/>
        </w:rPr>
        <w:t>.采购人：</w:t>
      </w:r>
      <w:r>
        <w:rPr>
          <w:rFonts w:hint="eastAsia" w:hAnsi="宋体" w:cs="宋体"/>
          <w:color w:val="auto"/>
          <w:sz w:val="24"/>
          <w:highlight w:val="none"/>
          <w:u w:val="none"/>
          <w:lang w:eastAsia="zh-CN"/>
        </w:rPr>
        <w:t>江安县中医医</w:t>
      </w:r>
      <w:r>
        <w:rPr>
          <w:rFonts w:hint="eastAsia" w:hAnsi="宋体" w:cs="宋体"/>
          <w:color w:val="auto"/>
          <w:sz w:val="24"/>
          <w:highlight w:val="none"/>
          <w:u w:val="none"/>
          <w:lang w:val="en-US" w:eastAsia="zh-CN"/>
        </w:rPr>
        <w:t>疗健康集团医院（妇幼保健分院）</w:t>
      </w:r>
    </w:p>
    <w:p>
      <w:pPr>
        <w:spacing w:line="440" w:lineRule="exact"/>
        <w:ind w:firstLine="490" w:firstLineChars="200"/>
        <w:outlineLvl w:val="2"/>
        <w:rPr>
          <w:rFonts w:hint="eastAsia" w:hAnsi="宋体" w:cs="宋体"/>
          <w:b/>
          <w:bCs/>
          <w:color w:val="auto"/>
          <w:sz w:val="24"/>
          <w:highlight w:val="none"/>
        </w:rPr>
      </w:pPr>
      <w:bookmarkStart w:id="18" w:name="_Toc4616415"/>
      <w:r>
        <w:rPr>
          <w:rFonts w:hint="eastAsia" w:hAnsi="宋体" w:cs="宋体"/>
          <w:b/>
          <w:bCs/>
          <w:color w:val="auto"/>
          <w:sz w:val="24"/>
          <w:highlight w:val="none"/>
        </w:rPr>
        <w:t>二、资金情况</w:t>
      </w:r>
      <w:bookmarkEnd w:id="18"/>
    </w:p>
    <w:p>
      <w:pPr>
        <w:spacing w:after="120" w:line="440" w:lineRule="exact"/>
        <w:ind w:right="51" w:rightChars="15" w:firstLine="490" w:firstLineChars="200"/>
        <w:rPr>
          <w:rFonts w:hint="default" w:hAnsi="宋体" w:eastAsia="宋体" w:cs="宋体"/>
          <w:color w:val="auto"/>
          <w:sz w:val="24"/>
          <w:highlight w:val="none"/>
          <w:lang w:val="en-US" w:eastAsia="zh-CN"/>
        </w:rPr>
      </w:pPr>
      <w:r>
        <w:rPr>
          <w:rFonts w:hint="eastAsia" w:hAnsi="宋体" w:cs="宋体"/>
          <w:color w:val="auto"/>
          <w:sz w:val="24"/>
          <w:highlight w:val="none"/>
        </w:rPr>
        <w:t>资金来源：</w:t>
      </w:r>
      <w:r>
        <w:rPr>
          <w:rFonts w:hint="eastAsia" w:hAnsi="宋体" w:cs="宋体"/>
          <w:color w:val="auto"/>
          <w:sz w:val="24"/>
          <w:highlight w:val="none"/>
          <w:lang w:val="en-US" w:eastAsia="zh-CN"/>
        </w:rPr>
        <w:t>专项资金</w:t>
      </w:r>
    </w:p>
    <w:p>
      <w:pPr>
        <w:spacing w:after="120" w:line="440" w:lineRule="exact"/>
        <w:ind w:firstLine="490" w:firstLineChars="200"/>
        <w:outlineLvl w:val="2"/>
        <w:rPr>
          <w:rFonts w:hint="eastAsia" w:hAnsi="宋体" w:cs="宋体"/>
          <w:color w:val="auto"/>
          <w:sz w:val="24"/>
          <w:highlight w:val="none"/>
        </w:rPr>
      </w:pPr>
      <w:bookmarkStart w:id="19" w:name="_Toc4616416"/>
      <w:r>
        <w:rPr>
          <w:rFonts w:hint="eastAsia" w:hAnsi="宋体" w:cs="宋体"/>
          <w:b/>
          <w:color w:val="auto"/>
          <w:sz w:val="24"/>
          <w:highlight w:val="none"/>
        </w:rPr>
        <w:t>三</w:t>
      </w:r>
      <w:r>
        <w:rPr>
          <w:rFonts w:hint="eastAsia" w:hAnsi="宋体" w:cs="宋体"/>
          <w:b/>
          <w:bCs/>
          <w:color w:val="auto"/>
          <w:sz w:val="24"/>
          <w:highlight w:val="none"/>
        </w:rPr>
        <w:t>、</w:t>
      </w:r>
      <w:r>
        <w:rPr>
          <w:rFonts w:hint="eastAsia" w:hAnsi="宋体" w:cs="宋体"/>
          <w:b/>
          <w:color w:val="auto"/>
          <w:sz w:val="24"/>
          <w:highlight w:val="none"/>
        </w:rPr>
        <w:t>采购项目简介：</w:t>
      </w:r>
      <w:bookmarkEnd w:id="19"/>
    </w:p>
    <w:p>
      <w:pPr>
        <w:spacing w:after="120" w:line="440" w:lineRule="exact"/>
        <w:ind w:firstLine="490" w:firstLineChars="200"/>
        <w:rPr>
          <w:rFonts w:hint="eastAsia" w:hAnsi="宋体" w:cs="宋体"/>
          <w:color w:val="auto"/>
          <w:sz w:val="24"/>
          <w:szCs w:val="28"/>
          <w:highlight w:val="none"/>
        </w:rPr>
      </w:pPr>
      <w:r>
        <w:rPr>
          <w:rFonts w:hint="eastAsia" w:hAnsi="宋体" w:cs="宋体"/>
          <w:color w:val="auto"/>
          <w:sz w:val="24"/>
          <w:szCs w:val="28"/>
          <w:highlight w:val="none"/>
        </w:rPr>
        <w:t>（详见谈判文件第</w:t>
      </w:r>
      <w:r>
        <w:rPr>
          <w:rFonts w:hint="eastAsia" w:hAnsi="宋体" w:cs="宋体"/>
          <w:color w:val="auto"/>
          <w:sz w:val="24"/>
          <w:highlight w:val="none"/>
        </w:rPr>
        <w:t>五</w:t>
      </w:r>
      <w:r>
        <w:rPr>
          <w:rFonts w:hint="eastAsia" w:hAnsi="宋体" w:cs="宋体"/>
          <w:color w:val="auto"/>
          <w:sz w:val="24"/>
          <w:szCs w:val="28"/>
          <w:highlight w:val="none"/>
        </w:rPr>
        <w:t>章）</w:t>
      </w:r>
    </w:p>
    <w:p>
      <w:pPr>
        <w:numPr>
          <w:ilvl w:val="0"/>
          <w:numId w:val="1"/>
        </w:numPr>
        <w:spacing w:line="440" w:lineRule="exact"/>
        <w:ind w:firstLine="490" w:firstLineChars="200"/>
        <w:outlineLvl w:val="2"/>
        <w:rPr>
          <w:rFonts w:hint="eastAsia" w:hAnsi="宋体" w:cs="宋体"/>
          <w:b/>
          <w:color w:val="auto"/>
          <w:sz w:val="24"/>
          <w:highlight w:val="none"/>
        </w:rPr>
      </w:pPr>
      <w:bookmarkStart w:id="20" w:name="_Toc4239"/>
      <w:bookmarkStart w:id="21" w:name="_Toc4616417"/>
      <w:r>
        <w:rPr>
          <w:rFonts w:hint="eastAsia" w:hAnsi="宋体" w:cs="宋体"/>
          <w:b/>
          <w:color w:val="auto"/>
          <w:sz w:val="24"/>
          <w:highlight w:val="none"/>
        </w:rPr>
        <w:t>供应商邀请方式</w:t>
      </w:r>
      <w:bookmarkEnd w:id="20"/>
      <w:bookmarkEnd w:id="21"/>
    </w:p>
    <w:p>
      <w:pPr>
        <w:spacing w:line="440" w:lineRule="exact"/>
        <w:ind w:firstLine="490" w:firstLineChars="200"/>
        <w:rPr>
          <w:rFonts w:hint="eastAsia" w:hAnsi="宋体" w:cs="宋体"/>
          <w:color w:val="auto"/>
          <w:sz w:val="24"/>
          <w:szCs w:val="22"/>
          <w:highlight w:val="none"/>
        </w:rPr>
      </w:pPr>
      <w:bookmarkStart w:id="22" w:name="_Toc4616418"/>
      <w:r>
        <w:rPr>
          <w:rFonts w:hint="eastAsia" w:hAnsi="宋体" w:cs="宋体"/>
          <w:color w:val="auto"/>
          <w:sz w:val="24"/>
          <w:szCs w:val="22"/>
          <w:highlight w:val="none"/>
        </w:rPr>
        <w:t>本次竞争性谈判邀请在</w:t>
      </w:r>
      <w:r>
        <w:rPr>
          <w:rFonts w:hint="eastAsia" w:hAnsi="宋体" w:cs="宋体"/>
          <w:sz w:val="24"/>
          <w:szCs w:val="24"/>
          <w:highlight w:val="yellow"/>
          <w:lang w:eastAsia="zh-CN"/>
        </w:rPr>
        <w:t>江安县中医医院</w:t>
      </w:r>
      <w:r>
        <w:rPr>
          <w:rFonts w:hint="eastAsia" w:hAnsi="宋体" w:cs="宋体"/>
          <w:sz w:val="24"/>
          <w:szCs w:val="24"/>
          <w:highlight w:val="yellow"/>
          <w:lang w:val="en-US" w:eastAsia="zh-CN"/>
        </w:rPr>
        <w:t>官方网站</w:t>
      </w:r>
      <w:r>
        <w:rPr>
          <w:rFonts w:hint="eastAsia" w:hAnsi="宋体" w:cs="宋体"/>
          <w:color w:val="auto"/>
          <w:sz w:val="24"/>
          <w:szCs w:val="22"/>
          <w:highlight w:val="none"/>
        </w:rPr>
        <w:t>上以公告形式发布；</w:t>
      </w:r>
    </w:p>
    <w:p>
      <w:pPr>
        <w:spacing w:after="120" w:line="440" w:lineRule="exact"/>
        <w:ind w:firstLine="490" w:firstLineChars="200"/>
        <w:outlineLvl w:val="2"/>
        <w:rPr>
          <w:rFonts w:hint="eastAsia" w:hAnsi="宋体" w:cs="宋体"/>
          <w:b/>
          <w:bCs/>
          <w:color w:val="auto"/>
          <w:sz w:val="24"/>
          <w:highlight w:val="none"/>
        </w:rPr>
      </w:pPr>
      <w:r>
        <w:rPr>
          <w:rFonts w:hint="eastAsia" w:hAnsi="宋体" w:cs="宋体"/>
          <w:b/>
          <w:bCs/>
          <w:color w:val="auto"/>
          <w:sz w:val="24"/>
          <w:highlight w:val="none"/>
        </w:rPr>
        <w:t>五、供应商参加本次采购活动应具备下列条件：</w:t>
      </w:r>
      <w:bookmarkEnd w:id="22"/>
    </w:p>
    <w:p>
      <w:pPr>
        <w:pStyle w:val="16"/>
        <w:wordWrap w:val="0"/>
        <w:spacing w:line="400" w:lineRule="exact"/>
        <w:ind w:firstLine="612" w:firstLineChars="250"/>
        <w:rPr>
          <w:rFonts w:hint="eastAsia" w:hAnsi="宋体" w:cs="宋体"/>
          <w:sz w:val="24"/>
        </w:rPr>
      </w:pPr>
      <w:bookmarkStart w:id="23" w:name="_Toc4616419"/>
      <w:r>
        <w:rPr>
          <w:rFonts w:hint="eastAsia" w:hAnsi="宋体" w:cs="宋体"/>
          <w:sz w:val="24"/>
        </w:rPr>
        <w:t>1、具有独立承担民事责任的能力；</w:t>
      </w:r>
    </w:p>
    <w:p>
      <w:pPr>
        <w:spacing w:after="120" w:line="440" w:lineRule="exact"/>
        <w:ind w:firstLine="490" w:firstLineChars="200"/>
        <w:outlineLvl w:val="2"/>
        <w:rPr>
          <w:rFonts w:hint="eastAsia" w:hAnsi="宋体" w:cs="宋体"/>
          <w:b/>
          <w:color w:val="auto"/>
          <w:sz w:val="24"/>
          <w:highlight w:val="none"/>
        </w:rPr>
      </w:pPr>
      <w:r>
        <w:rPr>
          <w:rFonts w:hint="eastAsia" w:hAnsi="宋体" w:cs="宋体"/>
          <w:b/>
          <w:color w:val="auto"/>
          <w:sz w:val="24"/>
          <w:highlight w:val="none"/>
        </w:rPr>
        <w:t>六、严禁参加本次采购活动的供应商</w:t>
      </w:r>
      <w:bookmarkEnd w:id="23"/>
    </w:p>
    <w:p>
      <w:pPr>
        <w:spacing w:line="440" w:lineRule="exact"/>
        <w:ind w:firstLine="490" w:firstLineChars="200"/>
        <w:rPr>
          <w:rFonts w:hint="eastAsia" w:hAnsi="宋体" w:cs="宋体"/>
          <w:color w:val="auto"/>
          <w:sz w:val="24"/>
          <w:highlight w:val="none"/>
        </w:rPr>
      </w:pPr>
      <w:r>
        <w:rPr>
          <w:rFonts w:hint="eastAsia" w:hAnsi="宋体" w:cs="宋体"/>
          <w:color w:val="auto"/>
          <w:sz w:val="24"/>
          <w:highlight w:val="none"/>
        </w:rPr>
        <w:t>1.拒绝列入失信被执行人名单、重大税收违法案件当事人名单、采购严重违法失信行为记录名单中的供应商报名参加本项目的采购活动（以联合体形式参加本项目采购活动，联合体成员存在不良信用记录的，视同联合体存在不良信用记录）。</w:t>
      </w:r>
    </w:p>
    <w:p>
      <w:pPr>
        <w:spacing w:after="120" w:line="440" w:lineRule="exact"/>
        <w:ind w:firstLine="490" w:firstLineChars="200"/>
        <w:outlineLvl w:val="2"/>
        <w:rPr>
          <w:rFonts w:hint="eastAsia" w:hAnsi="宋体" w:cs="宋体"/>
          <w:b/>
          <w:color w:val="auto"/>
          <w:sz w:val="24"/>
          <w:highlight w:val="none"/>
        </w:rPr>
      </w:pPr>
      <w:bookmarkStart w:id="24" w:name="_Toc4616420"/>
      <w:r>
        <w:rPr>
          <w:rFonts w:hint="eastAsia" w:hAnsi="宋体" w:cs="宋体"/>
          <w:b/>
          <w:color w:val="auto"/>
          <w:sz w:val="24"/>
          <w:highlight w:val="none"/>
        </w:rPr>
        <w:t>七、谈判文件获取方式、时间、地点：</w:t>
      </w:r>
      <w:bookmarkEnd w:id="24"/>
    </w:p>
    <w:p>
      <w:pPr>
        <w:spacing w:line="440" w:lineRule="exact"/>
        <w:ind w:firstLine="490" w:firstLineChars="200"/>
        <w:rPr>
          <w:rFonts w:hint="eastAsia" w:hAnsi="宋体" w:cs="宋体"/>
          <w:color w:val="000000"/>
          <w:sz w:val="24"/>
          <w:szCs w:val="28"/>
          <w:lang w:val="zh-CN" w:eastAsia="zh-CN"/>
        </w:rPr>
      </w:pPr>
      <w:r>
        <w:rPr>
          <w:rFonts w:hint="eastAsia" w:hAnsi="宋体" w:cs="宋体"/>
          <w:color w:val="000000"/>
          <w:sz w:val="24"/>
          <w:highlight w:val="none"/>
          <w:lang w:val="en-US" w:eastAsia="zh-CN"/>
        </w:rPr>
        <w:t>方式一、</w:t>
      </w:r>
      <w:r>
        <w:rPr>
          <w:rFonts w:hint="eastAsia" w:hAnsi="宋体" w:cs="宋体"/>
          <w:color w:val="000000"/>
          <w:sz w:val="24"/>
          <w:highlight w:val="none"/>
        </w:rPr>
        <w:t>谈判文件自20</w:t>
      </w:r>
      <w:r>
        <w:rPr>
          <w:rFonts w:hint="eastAsia" w:hAnsi="宋体" w:cs="宋体"/>
          <w:color w:val="000000"/>
          <w:sz w:val="24"/>
          <w:highlight w:val="none"/>
          <w:lang w:val="en-US" w:eastAsia="zh-CN"/>
        </w:rPr>
        <w:t>21</w:t>
      </w:r>
      <w:r>
        <w:rPr>
          <w:rFonts w:hint="eastAsia" w:hAnsi="宋体" w:cs="宋体"/>
          <w:color w:val="000000"/>
          <w:sz w:val="24"/>
          <w:highlight w:val="none"/>
        </w:rPr>
        <w:t>年</w:t>
      </w:r>
      <w:r>
        <w:rPr>
          <w:rFonts w:hint="eastAsia" w:hAnsi="宋体" w:cs="宋体"/>
          <w:color w:val="000000"/>
          <w:sz w:val="24"/>
          <w:highlight w:val="none"/>
          <w:lang w:val="en-US" w:eastAsia="zh-CN"/>
        </w:rPr>
        <w:t>07</w:t>
      </w:r>
      <w:r>
        <w:rPr>
          <w:rFonts w:hint="eastAsia" w:hAnsi="宋体" w:cs="宋体"/>
          <w:color w:val="000000"/>
          <w:sz w:val="24"/>
          <w:highlight w:val="none"/>
        </w:rPr>
        <w:t>月</w:t>
      </w:r>
      <w:r>
        <w:rPr>
          <w:rFonts w:hint="eastAsia" w:hAnsi="宋体" w:cs="宋体"/>
          <w:color w:val="000000"/>
          <w:sz w:val="24"/>
          <w:highlight w:val="none"/>
          <w:lang w:val="en-US" w:eastAsia="zh-CN"/>
        </w:rPr>
        <w:t>19</w:t>
      </w:r>
      <w:r>
        <w:rPr>
          <w:rFonts w:hint="eastAsia" w:hAnsi="宋体" w:cs="宋体"/>
          <w:color w:val="000000"/>
          <w:sz w:val="24"/>
          <w:highlight w:val="none"/>
        </w:rPr>
        <w:t>日至20</w:t>
      </w:r>
      <w:r>
        <w:rPr>
          <w:rFonts w:hint="eastAsia" w:hAnsi="宋体" w:cs="宋体"/>
          <w:color w:val="000000"/>
          <w:sz w:val="24"/>
          <w:highlight w:val="none"/>
          <w:lang w:val="en-US" w:eastAsia="zh-CN"/>
        </w:rPr>
        <w:t>21</w:t>
      </w:r>
      <w:r>
        <w:rPr>
          <w:rFonts w:hint="eastAsia" w:hAnsi="宋体" w:cs="宋体"/>
          <w:color w:val="000000"/>
          <w:sz w:val="24"/>
          <w:highlight w:val="none"/>
        </w:rPr>
        <w:t>年</w:t>
      </w:r>
      <w:r>
        <w:rPr>
          <w:rFonts w:hint="eastAsia" w:hAnsi="宋体" w:cs="宋体"/>
          <w:color w:val="000000"/>
          <w:sz w:val="24"/>
          <w:highlight w:val="none"/>
          <w:lang w:val="en-US" w:eastAsia="zh-CN"/>
        </w:rPr>
        <w:t>07</w:t>
      </w:r>
      <w:r>
        <w:rPr>
          <w:rFonts w:hint="eastAsia" w:hAnsi="宋体" w:cs="宋体"/>
          <w:color w:val="000000"/>
          <w:sz w:val="24"/>
          <w:highlight w:val="none"/>
        </w:rPr>
        <w:t>月</w:t>
      </w:r>
      <w:r>
        <w:rPr>
          <w:rFonts w:hint="eastAsia" w:hAnsi="宋体" w:cs="宋体"/>
          <w:color w:val="000000"/>
          <w:sz w:val="24"/>
          <w:highlight w:val="none"/>
          <w:lang w:val="en-US" w:eastAsia="zh-CN"/>
        </w:rPr>
        <w:t>21</w:t>
      </w:r>
      <w:r>
        <w:rPr>
          <w:rFonts w:hint="eastAsia" w:hAnsi="宋体" w:cs="宋体"/>
          <w:color w:val="000000"/>
          <w:sz w:val="24"/>
          <w:highlight w:val="none"/>
        </w:rPr>
        <w:t>日09:00- 1</w:t>
      </w:r>
      <w:r>
        <w:rPr>
          <w:rFonts w:hint="eastAsia" w:hAnsi="宋体" w:cs="宋体"/>
          <w:color w:val="000000"/>
          <w:sz w:val="24"/>
          <w:highlight w:val="none"/>
          <w:lang w:val="en-US" w:eastAsia="zh-CN"/>
        </w:rPr>
        <w:t>7</w:t>
      </w:r>
      <w:r>
        <w:rPr>
          <w:rFonts w:hint="eastAsia" w:hAnsi="宋体" w:cs="宋体"/>
          <w:color w:val="000000"/>
          <w:sz w:val="24"/>
          <w:highlight w:val="none"/>
        </w:rPr>
        <w:t>:30</w:t>
      </w:r>
      <w:r>
        <w:rPr>
          <w:rFonts w:hint="eastAsia" w:hAnsi="宋体" w:cs="宋体"/>
          <w:color w:val="000000"/>
          <w:sz w:val="24"/>
          <w:szCs w:val="28"/>
          <w:highlight w:val="none"/>
        </w:rPr>
        <w:t>（北京时间，</w:t>
      </w:r>
      <w:r>
        <w:rPr>
          <w:rFonts w:hint="eastAsia" w:hAnsi="宋体" w:cs="宋体"/>
          <w:color w:val="000000"/>
          <w:sz w:val="24"/>
          <w:szCs w:val="28"/>
          <w:highlight w:val="none"/>
          <w:lang w:eastAsia="zh-CN"/>
        </w:rPr>
        <w:t>中午</w:t>
      </w:r>
      <w:r>
        <w:rPr>
          <w:rFonts w:hint="eastAsia" w:hAnsi="宋体" w:cs="宋体"/>
          <w:color w:val="000000"/>
          <w:sz w:val="24"/>
          <w:szCs w:val="28"/>
          <w:highlight w:val="none"/>
          <w:lang w:val="en-US" w:eastAsia="zh-CN"/>
        </w:rPr>
        <w:t>12:00-14:00及</w:t>
      </w:r>
      <w:r>
        <w:rPr>
          <w:rFonts w:hint="eastAsia" w:hAnsi="宋体" w:cs="宋体"/>
          <w:color w:val="000000"/>
          <w:sz w:val="24"/>
          <w:szCs w:val="28"/>
          <w:highlight w:val="none"/>
        </w:rPr>
        <w:t>法定节假日除外）</w:t>
      </w:r>
      <w:r>
        <w:rPr>
          <w:rFonts w:hint="eastAsia" w:hAnsi="宋体" w:cs="宋体"/>
          <w:color w:val="000000"/>
          <w:sz w:val="24"/>
          <w:szCs w:val="28"/>
          <w:highlight w:val="none"/>
          <w:lang w:val="zh-CN" w:eastAsia="zh-CN"/>
        </w:rPr>
        <w:t>在江安县中医医院</w:t>
      </w:r>
      <w:r>
        <w:rPr>
          <w:rFonts w:hint="eastAsia" w:hAnsi="宋体" w:cs="宋体"/>
          <w:color w:val="000000"/>
          <w:sz w:val="24"/>
          <w:szCs w:val="28"/>
          <w:highlight w:val="none"/>
          <w:lang w:val="en-US" w:eastAsia="zh-CN"/>
        </w:rPr>
        <w:t>4楼办公室</w:t>
      </w:r>
      <w:r>
        <w:rPr>
          <w:rFonts w:hint="eastAsia" w:hAnsi="宋体" w:cs="宋体"/>
          <w:color w:val="000000"/>
          <w:sz w:val="24"/>
          <w:szCs w:val="28"/>
          <w:highlight w:val="none"/>
          <w:lang w:val="zh-CN" w:eastAsia="zh-CN"/>
        </w:rPr>
        <w:t>获</w:t>
      </w:r>
      <w:r>
        <w:rPr>
          <w:rFonts w:hint="eastAsia" w:hAnsi="宋体" w:cs="宋体"/>
          <w:color w:val="000000"/>
          <w:sz w:val="24"/>
          <w:szCs w:val="28"/>
          <w:lang w:val="zh-CN" w:eastAsia="zh-CN"/>
        </w:rPr>
        <w:t>取。逾期不</w:t>
      </w:r>
      <w:r>
        <w:rPr>
          <w:rFonts w:hint="eastAsia" w:hAnsi="宋体" w:cs="宋体"/>
          <w:color w:val="000000"/>
          <w:sz w:val="24"/>
          <w:szCs w:val="28"/>
          <w:lang w:val="en-US" w:eastAsia="zh-CN"/>
        </w:rPr>
        <w:t>受理</w:t>
      </w:r>
      <w:r>
        <w:rPr>
          <w:rFonts w:hint="eastAsia" w:hAnsi="宋体" w:cs="宋体"/>
          <w:color w:val="000000"/>
          <w:sz w:val="24"/>
          <w:szCs w:val="28"/>
          <w:lang w:val="zh-CN" w:eastAsia="zh-CN"/>
        </w:rPr>
        <w:t>。</w:t>
      </w:r>
    </w:p>
    <w:p>
      <w:pPr>
        <w:pStyle w:val="2"/>
        <w:ind w:firstLine="645" w:firstLineChars="300"/>
        <w:rPr>
          <w:rFonts w:hint="default" w:eastAsia="宋体"/>
          <w:lang w:val="en-US" w:eastAsia="zh-CN"/>
        </w:rPr>
      </w:pPr>
      <w:r>
        <w:rPr>
          <w:rFonts w:hint="eastAsia"/>
          <w:lang w:val="en-US" w:eastAsia="zh-CN"/>
        </w:rPr>
        <w:t xml:space="preserve">方式二、 </w:t>
      </w:r>
      <w:r>
        <w:rPr>
          <w:rFonts w:hint="eastAsia" w:hAnsi="宋体" w:cs="宋体"/>
          <w:color w:val="000000"/>
          <w:sz w:val="24"/>
          <w:lang w:eastAsia="zh-CN"/>
        </w:rPr>
        <w:t>谈判</w:t>
      </w:r>
      <w:r>
        <w:rPr>
          <w:rFonts w:hint="eastAsia" w:hAnsi="宋体" w:cs="宋体"/>
          <w:color w:val="000000"/>
          <w:sz w:val="24"/>
        </w:rPr>
        <w:t>文件</w:t>
      </w:r>
      <w:r>
        <w:rPr>
          <w:rFonts w:hint="eastAsia" w:hAnsi="宋体" w:cs="宋体"/>
          <w:color w:val="000000"/>
          <w:sz w:val="24"/>
          <w:highlight w:val="none"/>
        </w:rPr>
        <w:t>20</w:t>
      </w:r>
      <w:r>
        <w:rPr>
          <w:rFonts w:hint="eastAsia" w:hAnsi="宋体" w:cs="宋体"/>
          <w:color w:val="000000"/>
          <w:sz w:val="24"/>
          <w:highlight w:val="none"/>
          <w:lang w:val="en-US" w:eastAsia="zh-CN"/>
        </w:rPr>
        <w:t>21</w:t>
      </w:r>
      <w:r>
        <w:rPr>
          <w:rFonts w:hint="eastAsia" w:hAnsi="宋体" w:cs="宋体"/>
          <w:color w:val="000000"/>
          <w:sz w:val="24"/>
          <w:highlight w:val="none"/>
        </w:rPr>
        <w:t>年</w:t>
      </w:r>
      <w:r>
        <w:rPr>
          <w:rFonts w:hint="eastAsia" w:hAnsi="宋体" w:cs="宋体"/>
          <w:color w:val="000000"/>
          <w:sz w:val="24"/>
          <w:highlight w:val="none"/>
          <w:lang w:val="en-US" w:eastAsia="zh-CN"/>
        </w:rPr>
        <w:t>07</w:t>
      </w:r>
      <w:r>
        <w:rPr>
          <w:rFonts w:hint="eastAsia" w:hAnsi="宋体" w:cs="宋体"/>
          <w:color w:val="000000"/>
          <w:sz w:val="24"/>
          <w:highlight w:val="none"/>
        </w:rPr>
        <w:t>月</w:t>
      </w:r>
      <w:r>
        <w:rPr>
          <w:rFonts w:hint="eastAsia" w:hAnsi="宋体" w:cs="宋体"/>
          <w:color w:val="000000"/>
          <w:sz w:val="24"/>
          <w:highlight w:val="none"/>
          <w:lang w:val="en-US" w:eastAsia="zh-CN"/>
        </w:rPr>
        <w:t>19</w:t>
      </w:r>
      <w:r>
        <w:rPr>
          <w:rFonts w:hint="eastAsia" w:hAnsi="宋体" w:cs="宋体"/>
          <w:color w:val="000000"/>
          <w:sz w:val="24"/>
          <w:highlight w:val="none"/>
        </w:rPr>
        <w:t>日至20</w:t>
      </w:r>
      <w:r>
        <w:rPr>
          <w:rFonts w:hint="eastAsia" w:hAnsi="宋体" w:cs="宋体"/>
          <w:color w:val="000000"/>
          <w:sz w:val="24"/>
          <w:highlight w:val="none"/>
          <w:lang w:val="en-US" w:eastAsia="zh-CN"/>
        </w:rPr>
        <w:t>21</w:t>
      </w:r>
      <w:r>
        <w:rPr>
          <w:rFonts w:hint="eastAsia" w:hAnsi="宋体" w:cs="宋体"/>
          <w:color w:val="000000"/>
          <w:sz w:val="24"/>
          <w:highlight w:val="none"/>
        </w:rPr>
        <w:t>年</w:t>
      </w:r>
      <w:r>
        <w:rPr>
          <w:rFonts w:hint="eastAsia" w:hAnsi="宋体" w:cs="宋体"/>
          <w:color w:val="000000"/>
          <w:sz w:val="24"/>
          <w:highlight w:val="none"/>
          <w:lang w:val="en-US" w:eastAsia="zh-CN"/>
        </w:rPr>
        <w:t>07</w:t>
      </w:r>
      <w:r>
        <w:rPr>
          <w:rFonts w:hint="eastAsia" w:hAnsi="宋体" w:cs="宋体"/>
          <w:color w:val="000000"/>
          <w:sz w:val="24"/>
          <w:highlight w:val="none"/>
        </w:rPr>
        <w:t>月</w:t>
      </w:r>
      <w:r>
        <w:rPr>
          <w:rFonts w:hint="eastAsia" w:hAnsi="宋体" w:cs="宋体"/>
          <w:color w:val="000000"/>
          <w:sz w:val="24"/>
          <w:highlight w:val="none"/>
          <w:lang w:val="en-US" w:eastAsia="zh-CN"/>
        </w:rPr>
        <w:t>21</w:t>
      </w:r>
      <w:r>
        <w:rPr>
          <w:rFonts w:hint="eastAsia" w:hAnsi="宋体" w:cs="宋体"/>
          <w:color w:val="000000"/>
          <w:sz w:val="24"/>
          <w:highlight w:val="none"/>
        </w:rPr>
        <w:t>日</w:t>
      </w:r>
      <w:r>
        <w:rPr>
          <w:rFonts w:hint="eastAsia" w:hAnsi="宋体" w:cs="宋体"/>
          <w:color w:val="000000"/>
          <w:sz w:val="24"/>
          <w:highlight w:val="none"/>
          <w:lang w:val="en-US" w:eastAsia="zh-CN"/>
        </w:rPr>
        <w:t>可在江安县中医院官方网站上获取（该采购项目竞争谈判公示中以附件形式展现）</w:t>
      </w:r>
      <w:bookmarkStart w:id="199" w:name="_GoBack"/>
      <w:bookmarkEnd w:id="199"/>
      <w:r>
        <w:rPr>
          <w:rFonts w:hint="eastAsia" w:hAnsi="宋体" w:cs="宋体"/>
          <w:color w:val="000000"/>
          <w:sz w:val="24"/>
          <w:highlight w:val="none"/>
          <w:lang w:val="en-US" w:eastAsia="zh-CN"/>
        </w:rPr>
        <w:t>。</w:t>
      </w:r>
    </w:p>
    <w:p>
      <w:pPr>
        <w:pStyle w:val="2"/>
        <w:rPr>
          <w:rFonts w:hint="default"/>
          <w:lang w:val="en-US"/>
        </w:rPr>
      </w:pPr>
    </w:p>
    <w:p>
      <w:pPr>
        <w:pStyle w:val="6"/>
        <w:ind w:firstLine="490"/>
        <w:rPr>
          <w:rFonts w:hint="eastAsia" w:ascii="宋体" w:hAnsi="宋体" w:cs="宋体"/>
          <w:color w:val="000000"/>
          <w:highlight w:val="none"/>
        </w:rPr>
      </w:pPr>
    </w:p>
    <w:p>
      <w:pPr>
        <w:spacing w:after="120" w:line="440" w:lineRule="exact"/>
        <w:ind w:firstLine="490" w:firstLineChars="200"/>
        <w:outlineLvl w:val="2"/>
        <w:rPr>
          <w:rFonts w:hint="eastAsia" w:hAnsi="宋体" w:cs="宋体"/>
          <w:b/>
          <w:color w:val="000000"/>
          <w:sz w:val="24"/>
          <w:szCs w:val="22"/>
          <w:highlight w:val="none"/>
        </w:rPr>
      </w:pPr>
      <w:bookmarkStart w:id="25" w:name="_Toc4616421"/>
      <w:r>
        <w:rPr>
          <w:rFonts w:hint="eastAsia" w:hAnsi="宋体" w:cs="宋体"/>
          <w:b/>
          <w:color w:val="000000"/>
          <w:sz w:val="24"/>
          <w:szCs w:val="22"/>
          <w:highlight w:val="none"/>
        </w:rPr>
        <w:t>八、递交</w:t>
      </w:r>
      <w:r>
        <w:rPr>
          <w:rFonts w:hint="eastAsia" w:hAnsi="宋体" w:cs="宋体"/>
          <w:b/>
          <w:color w:val="000000"/>
          <w:sz w:val="24"/>
          <w:szCs w:val="28"/>
          <w:highlight w:val="none"/>
        </w:rPr>
        <w:t>响应文件</w:t>
      </w:r>
      <w:r>
        <w:rPr>
          <w:rFonts w:hint="eastAsia" w:hAnsi="宋体" w:cs="宋体"/>
          <w:b/>
          <w:color w:val="000000"/>
          <w:sz w:val="24"/>
          <w:highlight w:val="none"/>
        </w:rPr>
        <w:t>起止时间：</w:t>
      </w:r>
      <w:r>
        <w:rPr>
          <w:rFonts w:hint="eastAsia" w:hAnsi="宋体" w:cs="宋体"/>
          <w:bCs/>
          <w:color w:val="000000"/>
          <w:sz w:val="24"/>
          <w:highlight w:val="none"/>
        </w:rPr>
        <w:t>20</w:t>
      </w:r>
      <w:r>
        <w:rPr>
          <w:rFonts w:hint="eastAsia" w:hAnsi="宋体" w:cs="宋体"/>
          <w:bCs/>
          <w:color w:val="000000"/>
          <w:sz w:val="24"/>
          <w:highlight w:val="none"/>
          <w:lang w:val="en-US" w:eastAsia="zh-CN"/>
        </w:rPr>
        <w:t>21</w:t>
      </w:r>
      <w:r>
        <w:rPr>
          <w:rFonts w:hint="eastAsia" w:hAnsi="宋体" w:cs="宋体"/>
          <w:bCs/>
          <w:color w:val="000000"/>
          <w:sz w:val="24"/>
          <w:highlight w:val="none"/>
        </w:rPr>
        <w:t>年</w:t>
      </w:r>
      <w:r>
        <w:rPr>
          <w:rFonts w:hint="eastAsia" w:hAnsi="宋体" w:cs="宋体"/>
          <w:bCs/>
          <w:color w:val="000000"/>
          <w:sz w:val="24"/>
          <w:highlight w:val="none"/>
          <w:lang w:val="en-US" w:eastAsia="zh-CN"/>
        </w:rPr>
        <w:t>07</w:t>
      </w:r>
      <w:r>
        <w:rPr>
          <w:rFonts w:hint="eastAsia" w:hAnsi="宋体" w:cs="宋体"/>
          <w:bCs/>
          <w:color w:val="000000"/>
          <w:sz w:val="24"/>
          <w:highlight w:val="none"/>
        </w:rPr>
        <w:t>月</w:t>
      </w:r>
      <w:r>
        <w:rPr>
          <w:rFonts w:hint="eastAsia" w:hAnsi="宋体" w:cs="宋体"/>
          <w:bCs/>
          <w:color w:val="000000"/>
          <w:sz w:val="24"/>
          <w:highlight w:val="none"/>
          <w:lang w:val="en-US" w:eastAsia="zh-CN"/>
        </w:rPr>
        <w:t>22</w:t>
      </w:r>
      <w:r>
        <w:rPr>
          <w:rFonts w:hint="eastAsia" w:hAnsi="宋体" w:cs="宋体"/>
          <w:bCs/>
          <w:color w:val="000000"/>
          <w:sz w:val="24"/>
          <w:highlight w:val="none"/>
        </w:rPr>
        <w:t>日</w:t>
      </w:r>
      <w:r>
        <w:rPr>
          <w:rFonts w:hint="eastAsia" w:hAnsi="宋体" w:cs="宋体"/>
          <w:bCs/>
          <w:color w:val="000000"/>
          <w:sz w:val="24"/>
          <w:highlight w:val="none"/>
          <w:lang w:val="en-US" w:eastAsia="zh-CN"/>
        </w:rPr>
        <w:t>09</w:t>
      </w:r>
      <w:r>
        <w:rPr>
          <w:rFonts w:hint="eastAsia" w:hAnsi="宋体" w:cs="宋体"/>
          <w:bCs/>
          <w:color w:val="000000"/>
          <w:sz w:val="24"/>
          <w:highlight w:val="none"/>
        </w:rPr>
        <w:t>:</w:t>
      </w:r>
      <w:r>
        <w:rPr>
          <w:rFonts w:hint="eastAsia" w:hAnsi="宋体" w:cs="宋体"/>
          <w:bCs/>
          <w:color w:val="000000"/>
          <w:sz w:val="24"/>
          <w:highlight w:val="none"/>
          <w:lang w:val="en-US" w:eastAsia="zh-CN"/>
        </w:rPr>
        <w:t>3</w:t>
      </w:r>
      <w:r>
        <w:rPr>
          <w:rFonts w:hint="eastAsia" w:hAnsi="宋体" w:cs="宋体"/>
          <w:bCs/>
          <w:color w:val="000000"/>
          <w:sz w:val="24"/>
          <w:highlight w:val="none"/>
        </w:rPr>
        <w:t>0-</w:t>
      </w:r>
      <w:r>
        <w:rPr>
          <w:rFonts w:hint="eastAsia" w:hAnsi="宋体" w:cs="宋体"/>
          <w:bCs/>
          <w:color w:val="000000"/>
          <w:sz w:val="24"/>
          <w:highlight w:val="none"/>
          <w:lang w:val="en-US" w:eastAsia="zh-CN"/>
        </w:rPr>
        <w:t>10</w:t>
      </w:r>
      <w:r>
        <w:rPr>
          <w:rFonts w:hint="eastAsia" w:hAnsi="宋体" w:cs="宋体"/>
          <w:bCs/>
          <w:color w:val="000000"/>
          <w:sz w:val="24"/>
          <w:highlight w:val="none"/>
        </w:rPr>
        <w:t>:</w:t>
      </w:r>
      <w:r>
        <w:rPr>
          <w:rFonts w:hint="eastAsia" w:hAnsi="宋体" w:cs="宋体"/>
          <w:bCs/>
          <w:color w:val="000000"/>
          <w:sz w:val="24"/>
          <w:highlight w:val="none"/>
          <w:lang w:val="en-US" w:eastAsia="zh-CN"/>
        </w:rPr>
        <w:t>0</w:t>
      </w:r>
      <w:r>
        <w:rPr>
          <w:rFonts w:hint="eastAsia" w:hAnsi="宋体" w:cs="宋体"/>
          <w:bCs/>
          <w:color w:val="000000"/>
          <w:sz w:val="24"/>
          <w:highlight w:val="none"/>
        </w:rPr>
        <w:t>0</w:t>
      </w:r>
      <w:r>
        <w:rPr>
          <w:rFonts w:hint="eastAsia" w:hAnsi="宋体" w:cs="宋体"/>
          <w:color w:val="000000"/>
          <w:sz w:val="24"/>
          <w:szCs w:val="28"/>
          <w:highlight w:val="none"/>
        </w:rPr>
        <w:t>（北京时间）。</w:t>
      </w:r>
      <w:bookmarkEnd w:id="25"/>
    </w:p>
    <w:p>
      <w:pPr>
        <w:pStyle w:val="17"/>
        <w:widowControl w:val="0"/>
        <w:autoSpaceDE w:val="0"/>
        <w:autoSpaceDN w:val="0"/>
        <w:adjustRightInd w:val="0"/>
        <w:spacing w:before="0" w:after="0" w:line="439" w:lineRule="exact"/>
        <w:ind w:firstLine="490" w:firstLineChars="200"/>
        <w:jc w:val="left"/>
        <w:outlineLvl w:val="2"/>
        <w:rPr>
          <w:rFonts w:hint="eastAsia" w:ascii="宋体" w:hAnsi="宋体" w:eastAsia="宋体" w:cs="宋体"/>
          <w:color w:val="000000"/>
          <w:sz w:val="24"/>
          <w:szCs w:val="28"/>
          <w:highlight w:val="none"/>
          <w:lang w:eastAsia="zh-CN"/>
        </w:rPr>
      </w:pPr>
      <w:bookmarkStart w:id="26" w:name="_Toc12559"/>
      <w:bookmarkStart w:id="27" w:name="_Toc4616422"/>
      <w:r>
        <w:rPr>
          <w:rFonts w:hint="eastAsia" w:ascii="宋体" w:hAnsi="宋体" w:eastAsia="宋体" w:cs="宋体"/>
          <w:b/>
          <w:color w:val="000000"/>
          <w:sz w:val="24"/>
          <w:highlight w:val="none"/>
          <w:lang w:eastAsia="zh-CN"/>
        </w:rPr>
        <w:t>九、</w:t>
      </w:r>
      <w:bookmarkEnd w:id="26"/>
      <w:r>
        <w:rPr>
          <w:rFonts w:hint="eastAsia" w:ascii="宋体" w:hAnsi="宋体" w:eastAsia="宋体" w:cs="宋体"/>
          <w:b/>
          <w:color w:val="000000"/>
          <w:sz w:val="24"/>
          <w:highlight w:val="none"/>
          <w:lang w:eastAsia="zh-CN"/>
        </w:rPr>
        <w:t>响应文件递交截止时间：</w:t>
      </w:r>
      <w:r>
        <w:rPr>
          <w:rFonts w:hint="eastAsia" w:ascii="宋体" w:hAnsi="宋体" w:eastAsia="宋体" w:cs="宋体"/>
          <w:bCs/>
          <w:color w:val="000000"/>
          <w:sz w:val="24"/>
          <w:highlight w:val="none"/>
          <w:lang w:eastAsia="zh-CN"/>
        </w:rPr>
        <w:t>20</w:t>
      </w:r>
      <w:r>
        <w:rPr>
          <w:rFonts w:hint="eastAsia" w:ascii="宋体" w:hAnsi="宋体" w:eastAsia="宋体" w:cs="宋体"/>
          <w:bCs/>
          <w:color w:val="000000"/>
          <w:sz w:val="24"/>
          <w:highlight w:val="none"/>
          <w:lang w:val="en-US" w:eastAsia="zh-CN"/>
        </w:rPr>
        <w:t>21</w:t>
      </w:r>
      <w:r>
        <w:rPr>
          <w:rFonts w:hint="eastAsia" w:ascii="宋体" w:hAnsi="宋体" w:eastAsia="宋体" w:cs="宋体"/>
          <w:bCs/>
          <w:color w:val="000000"/>
          <w:sz w:val="24"/>
          <w:highlight w:val="none"/>
          <w:lang w:eastAsia="zh-CN"/>
        </w:rPr>
        <w:t>年</w:t>
      </w:r>
      <w:r>
        <w:rPr>
          <w:rFonts w:hint="eastAsia" w:ascii="宋体" w:hAnsi="宋体" w:eastAsia="宋体" w:cs="宋体"/>
          <w:bCs/>
          <w:color w:val="000000"/>
          <w:sz w:val="24"/>
          <w:highlight w:val="none"/>
          <w:lang w:val="en-US" w:eastAsia="zh-CN"/>
        </w:rPr>
        <w:t>07</w:t>
      </w:r>
      <w:r>
        <w:rPr>
          <w:rFonts w:hint="eastAsia" w:ascii="宋体" w:hAnsi="宋体" w:eastAsia="宋体" w:cs="宋体"/>
          <w:bCs/>
          <w:color w:val="000000"/>
          <w:sz w:val="24"/>
          <w:highlight w:val="none"/>
          <w:lang w:eastAsia="zh-CN"/>
        </w:rPr>
        <w:t>月</w:t>
      </w:r>
      <w:r>
        <w:rPr>
          <w:rFonts w:hint="eastAsia" w:ascii="宋体" w:hAnsi="宋体" w:eastAsia="宋体" w:cs="宋体"/>
          <w:bCs/>
          <w:color w:val="000000"/>
          <w:sz w:val="24"/>
          <w:highlight w:val="none"/>
          <w:lang w:val="en-US" w:eastAsia="zh-CN"/>
        </w:rPr>
        <w:t>22</w:t>
      </w:r>
      <w:r>
        <w:rPr>
          <w:rFonts w:hint="eastAsia" w:ascii="宋体" w:hAnsi="宋体" w:eastAsia="宋体" w:cs="宋体"/>
          <w:bCs/>
          <w:color w:val="000000"/>
          <w:sz w:val="24"/>
          <w:highlight w:val="none"/>
          <w:lang w:eastAsia="zh-CN"/>
        </w:rPr>
        <w:t>日</w:t>
      </w:r>
      <w:r>
        <w:rPr>
          <w:rFonts w:hint="eastAsia" w:ascii="宋体" w:hAnsi="宋体" w:eastAsia="宋体" w:cs="宋体"/>
          <w:bCs/>
          <w:color w:val="000000"/>
          <w:sz w:val="24"/>
          <w:highlight w:val="none"/>
          <w:lang w:val="en-US" w:eastAsia="zh-CN"/>
        </w:rPr>
        <w:t>10</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lang w:val="en-US" w:eastAsia="zh-CN"/>
        </w:rPr>
        <w:t>0</w:t>
      </w:r>
      <w:r>
        <w:rPr>
          <w:rFonts w:hint="eastAsia" w:ascii="宋体" w:hAnsi="宋体" w:eastAsia="宋体" w:cs="宋体"/>
          <w:bCs/>
          <w:color w:val="000000"/>
          <w:sz w:val="24"/>
          <w:highlight w:val="none"/>
          <w:lang w:eastAsia="zh-CN"/>
        </w:rPr>
        <w:t>0</w:t>
      </w:r>
      <w:r>
        <w:rPr>
          <w:rFonts w:hint="eastAsia" w:ascii="宋体" w:hAnsi="宋体" w:eastAsia="宋体" w:cs="宋体"/>
          <w:color w:val="000000"/>
          <w:sz w:val="24"/>
          <w:szCs w:val="28"/>
          <w:highlight w:val="none"/>
          <w:lang w:eastAsia="zh-CN"/>
        </w:rPr>
        <w:t>（北京时间）</w:t>
      </w:r>
      <w:bookmarkEnd w:id="27"/>
    </w:p>
    <w:p>
      <w:pPr>
        <w:pStyle w:val="17"/>
        <w:widowControl w:val="0"/>
        <w:autoSpaceDE w:val="0"/>
        <w:autoSpaceDN w:val="0"/>
        <w:adjustRightInd w:val="0"/>
        <w:spacing w:before="0" w:after="0" w:line="440" w:lineRule="exact"/>
        <w:ind w:left="482" w:firstLine="490" w:firstLineChars="200"/>
        <w:jc w:val="left"/>
        <w:outlineLvl w:val="2"/>
        <w:rPr>
          <w:rFonts w:hint="eastAsia" w:ascii="宋体" w:hAnsi="宋体" w:eastAsia="宋体" w:cs="宋体"/>
          <w:color w:val="000000"/>
          <w:sz w:val="24"/>
          <w:szCs w:val="28"/>
          <w:highlight w:val="none"/>
          <w:lang w:eastAsia="zh-CN"/>
        </w:rPr>
      </w:pPr>
      <w:bookmarkStart w:id="28" w:name="_Toc4616423"/>
      <w:r>
        <w:rPr>
          <w:rFonts w:hint="eastAsia" w:ascii="宋体" w:hAnsi="宋体" w:eastAsia="宋体" w:cs="宋体"/>
          <w:b/>
          <w:color w:val="000000"/>
          <w:sz w:val="24"/>
          <w:highlight w:val="none"/>
          <w:lang w:eastAsia="zh-CN"/>
        </w:rPr>
        <w:t>响应文件开启时间（非响应文件递交截止时间）：：</w:t>
      </w:r>
      <w:r>
        <w:rPr>
          <w:rFonts w:hint="eastAsia" w:ascii="宋体" w:hAnsi="宋体" w:eastAsia="宋体" w:cs="宋体"/>
          <w:bCs/>
          <w:color w:val="000000"/>
          <w:sz w:val="24"/>
          <w:highlight w:val="none"/>
          <w:lang w:eastAsia="zh-CN"/>
        </w:rPr>
        <w:t>20</w:t>
      </w:r>
      <w:r>
        <w:rPr>
          <w:rFonts w:hint="eastAsia" w:ascii="宋体" w:hAnsi="宋体" w:eastAsia="宋体" w:cs="宋体"/>
          <w:bCs/>
          <w:color w:val="000000"/>
          <w:sz w:val="24"/>
          <w:highlight w:val="none"/>
          <w:lang w:val="en-US" w:eastAsia="zh-CN"/>
        </w:rPr>
        <w:t>21</w:t>
      </w:r>
      <w:r>
        <w:rPr>
          <w:rFonts w:hint="eastAsia" w:ascii="宋体" w:hAnsi="宋体" w:eastAsia="宋体" w:cs="宋体"/>
          <w:bCs/>
          <w:color w:val="000000"/>
          <w:sz w:val="24"/>
          <w:highlight w:val="none"/>
          <w:lang w:eastAsia="zh-CN"/>
        </w:rPr>
        <w:t>年</w:t>
      </w:r>
      <w:r>
        <w:rPr>
          <w:rFonts w:hint="eastAsia" w:ascii="宋体" w:hAnsi="宋体" w:eastAsia="宋体" w:cs="宋体"/>
          <w:bCs/>
          <w:color w:val="000000"/>
          <w:sz w:val="24"/>
          <w:highlight w:val="none"/>
          <w:lang w:val="en-US" w:eastAsia="zh-CN"/>
        </w:rPr>
        <w:t>07</w:t>
      </w:r>
      <w:r>
        <w:rPr>
          <w:rFonts w:hint="eastAsia" w:ascii="宋体" w:hAnsi="宋体" w:eastAsia="宋体" w:cs="宋体"/>
          <w:bCs/>
          <w:color w:val="000000"/>
          <w:sz w:val="24"/>
          <w:highlight w:val="none"/>
          <w:lang w:eastAsia="zh-CN"/>
        </w:rPr>
        <w:t>月</w:t>
      </w:r>
      <w:r>
        <w:rPr>
          <w:rFonts w:hint="eastAsia" w:ascii="宋体" w:hAnsi="宋体" w:eastAsia="宋体" w:cs="宋体"/>
          <w:bCs/>
          <w:color w:val="000000"/>
          <w:sz w:val="24"/>
          <w:highlight w:val="none"/>
          <w:lang w:val="en-US" w:eastAsia="zh-CN"/>
        </w:rPr>
        <w:t>022</w:t>
      </w:r>
      <w:r>
        <w:rPr>
          <w:rFonts w:hint="eastAsia" w:ascii="宋体" w:hAnsi="宋体" w:eastAsia="宋体" w:cs="宋体"/>
          <w:bCs/>
          <w:color w:val="000000"/>
          <w:sz w:val="24"/>
          <w:highlight w:val="none"/>
          <w:lang w:eastAsia="zh-CN"/>
        </w:rPr>
        <w:t>日1</w:t>
      </w:r>
      <w:r>
        <w:rPr>
          <w:rFonts w:hint="eastAsia" w:ascii="宋体" w:hAnsi="宋体" w:eastAsia="宋体" w:cs="宋体"/>
          <w:bCs/>
          <w:color w:val="000000"/>
          <w:sz w:val="24"/>
          <w:highlight w:val="none"/>
          <w:lang w:val="en-US" w:eastAsia="zh-CN"/>
        </w:rPr>
        <w:t>0</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lang w:val="en-US" w:eastAsia="zh-CN"/>
        </w:rPr>
        <w:t>00</w:t>
      </w:r>
      <w:r>
        <w:rPr>
          <w:rFonts w:hint="eastAsia" w:ascii="宋体" w:hAnsi="宋体" w:eastAsia="宋体" w:cs="宋体"/>
          <w:color w:val="000000"/>
          <w:sz w:val="24"/>
          <w:szCs w:val="28"/>
          <w:highlight w:val="none"/>
          <w:lang w:eastAsia="zh-CN"/>
        </w:rPr>
        <w:t>（北京时间）</w:t>
      </w:r>
      <w:bookmarkEnd w:id="28"/>
    </w:p>
    <w:p>
      <w:pPr>
        <w:spacing w:after="120" w:line="400" w:lineRule="exact"/>
        <w:ind w:firstLine="490" w:firstLineChars="200"/>
        <w:outlineLvl w:val="2"/>
        <w:rPr>
          <w:rFonts w:hint="eastAsia" w:hAnsi="宋体" w:cs="宋体"/>
          <w:b/>
          <w:color w:val="000000"/>
          <w:sz w:val="24"/>
        </w:rPr>
      </w:pPr>
      <w:bookmarkStart w:id="29" w:name="_Toc4616424"/>
      <w:r>
        <w:rPr>
          <w:rFonts w:hint="eastAsia" w:hAnsi="宋体" w:cs="宋体"/>
          <w:b/>
          <w:color w:val="000000"/>
          <w:sz w:val="24"/>
          <w:highlight w:val="none"/>
        </w:rPr>
        <w:t>十、递交响应文件地点：</w:t>
      </w:r>
      <w:r>
        <w:rPr>
          <w:rFonts w:hint="eastAsia" w:hAnsi="宋体" w:cs="宋体"/>
          <w:color w:val="000000"/>
          <w:sz w:val="24"/>
          <w:szCs w:val="28"/>
          <w:highlight w:val="none"/>
          <w:lang w:val="zh-CN" w:eastAsia="zh-CN"/>
        </w:rPr>
        <w:t>江安县中医医院</w:t>
      </w:r>
      <w:r>
        <w:rPr>
          <w:rFonts w:hint="eastAsia" w:hAnsi="宋体" w:cs="宋体"/>
          <w:color w:val="000000"/>
          <w:sz w:val="24"/>
          <w:szCs w:val="28"/>
          <w:highlight w:val="none"/>
          <w:lang w:val="en-US" w:eastAsia="zh-CN"/>
        </w:rPr>
        <w:t>4楼会议室</w:t>
      </w:r>
      <w:r>
        <w:rPr>
          <w:rFonts w:hint="eastAsia" w:hAnsi="宋体" w:cs="宋体"/>
          <w:b/>
          <w:color w:val="000000"/>
          <w:sz w:val="24"/>
          <w:highlight w:val="none"/>
          <w:lang w:val="en-US" w:eastAsia="zh-CN"/>
        </w:rPr>
        <w:t>。</w:t>
      </w:r>
    </w:p>
    <w:p>
      <w:pPr>
        <w:spacing w:after="120" w:line="440" w:lineRule="exact"/>
        <w:ind w:firstLine="490" w:firstLineChars="200"/>
        <w:outlineLvl w:val="2"/>
        <w:rPr>
          <w:rFonts w:hint="eastAsia" w:hAnsi="宋体" w:cs="宋体"/>
          <w:color w:val="auto"/>
          <w:sz w:val="24"/>
          <w:highlight w:val="none"/>
        </w:rPr>
      </w:pPr>
      <w:r>
        <w:rPr>
          <w:rFonts w:hint="eastAsia" w:hAnsi="宋体" w:cs="宋体"/>
          <w:color w:val="000000"/>
          <w:sz w:val="24"/>
          <w:highlight w:val="none"/>
        </w:rPr>
        <w:t>响应文件必须在递交响应文件截止时间前送达</w:t>
      </w:r>
      <w:r>
        <w:rPr>
          <w:rFonts w:hint="eastAsia" w:hAnsi="宋体" w:cs="宋体"/>
          <w:color w:val="000000"/>
          <w:sz w:val="24"/>
          <w:szCs w:val="18"/>
          <w:highlight w:val="none"/>
        </w:rPr>
        <w:t>谈判</w:t>
      </w:r>
      <w:r>
        <w:rPr>
          <w:rFonts w:hint="eastAsia" w:hAnsi="宋体" w:cs="宋体"/>
          <w:color w:val="000000"/>
          <w:sz w:val="24"/>
          <w:highlight w:val="none"/>
        </w:rPr>
        <w:t>地点。逾期送达的响应</w:t>
      </w:r>
      <w:r>
        <w:rPr>
          <w:rFonts w:hint="eastAsia" w:hAnsi="宋体" w:cs="宋体"/>
          <w:color w:val="auto"/>
          <w:sz w:val="24"/>
          <w:highlight w:val="none"/>
        </w:rPr>
        <w:t>文件，恕不接收。本次采购不接收邮寄的响应文件。</w:t>
      </w:r>
      <w:bookmarkEnd w:id="29"/>
    </w:p>
    <w:p>
      <w:pPr>
        <w:spacing w:after="120" w:line="400" w:lineRule="exact"/>
        <w:ind w:firstLine="490" w:firstLineChars="200"/>
        <w:outlineLvl w:val="2"/>
        <w:rPr>
          <w:rFonts w:hint="eastAsia" w:hAnsi="宋体" w:cs="宋体"/>
          <w:b/>
          <w:color w:val="FF0000"/>
          <w:sz w:val="24"/>
        </w:rPr>
      </w:pPr>
      <w:bookmarkStart w:id="30" w:name="_Toc4616425"/>
      <w:r>
        <w:rPr>
          <w:rFonts w:hint="eastAsia" w:hAnsi="宋体" w:cs="宋体"/>
          <w:b/>
          <w:color w:val="auto"/>
          <w:sz w:val="24"/>
          <w:szCs w:val="28"/>
          <w:highlight w:val="none"/>
        </w:rPr>
        <w:t>十一、谈判地点：</w:t>
      </w:r>
      <w:bookmarkEnd w:id="30"/>
      <w:r>
        <w:rPr>
          <w:rFonts w:hint="eastAsia" w:hAnsi="宋体" w:cs="宋体"/>
          <w:color w:val="000000"/>
          <w:sz w:val="24"/>
          <w:szCs w:val="28"/>
          <w:highlight w:val="none"/>
          <w:lang w:val="zh-CN" w:eastAsia="zh-CN"/>
        </w:rPr>
        <w:t>江安县中医医院</w:t>
      </w:r>
      <w:r>
        <w:rPr>
          <w:rFonts w:hint="eastAsia" w:hAnsi="宋体" w:cs="宋体"/>
          <w:color w:val="000000"/>
          <w:sz w:val="24"/>
          <w:szCs w:val="28"/>
          <w:highlight w:val="none"/>
          <w:lang w:val="en-US" w:eastAsia="zh-CN"/>
        </w:rPr>
        <w:t>4楼会议室</w:t>
      </w:r>
      <w:r>
        <w:rPr>
          <w:rFonts w:hint="eastAsia" w:hAnsi="宋体" w:cs="宋体"/>
          <w:b/>
          <w:color w:val="000000"/>
          <w:sz w:val="24"/>
          <w:highlight w:val="none"/>
          <w:lang w:val="en-US" w:eastAsia="zh-CN"/>
        </w:rPr>
        <w:t>。</w:t>
      </w:r>
    </w:p>
    <w:p>
      <w:pPr>
        <w:pStyle w:val="16"/>
        <w:spacing w:after="120" w:line="440" w:lineRule="exact"/>
        <w:ind w:firstLine="492"/>
        <w:outlineLvl w:val="2"/>
        <w:rPr>
          <w:rFonts w:hint="eastAsia" w:hAnsi="宋体" w:cs="宋体"/>
          <w:b/>
          <w:color w:val="auto"/>
          <w:sz w:val="24"/>
          <w:highlight w:val="none"/>
        </w:rPr>
      </w:pPr>
      <w:bookmarkStart w:id="31" w:name="_Toc4616426"/>
      <w:r>
        <w:rPr>
          <w:rFonts w:hint="eastAsia" w:hAnsi="宋体" w:cs="宋体"/>
          <w:b/>
          <w:color w:val="auto"/>
          <w:sz w:val="24"/>
          <w:highlight w:val="none"/>
        </w:rPr>
        <w:t>十二、联系方式</w:t>
      </w:r>
      <w:bookmarkEnd w:id="31"/>
    </w:p>
    <w:p>
      <w:pPr>
        <w:pStyle w:val="16"/>
        <w:spacing w:line="440" w:lineRule="exact"/>
        <w:ind w:firstLine="1225" w:firstLineChars="500"/>
        <w:rPr>
          <w:rFonts w:hint="eastAsia" w:hAnsi="宋体" w:cs="宋体"/>
          <w:b/>
          <w:bCs/>
          <w:color w:val="auto"/>
          <w:sz w:val="24"/>
          <w:szCs w:val="22"/>
          <w:highlight w:val="none"/>
          <w:lang w:val="zh-CN"/>
        </w:rPr>
      </w:pPr>
      <w:r>
        <w:rPr>
          <w:rFonts w:hint="eastAsia" w:hAnsi="宋体" w:cs="宋体"/>
          <w:b/>
          <w:bCs/>
          <w:color w:val="auto"/>
          <w:sz w:val="24"/>
          <w:szCs w:val="22"/>
          <w:highlight w:val="none"/>
          <w:lang w:val="zh-CN"/>
        </w:rPr>
        <w:t>采 购 人：江安县中医医院</w:t>
      </w:r>
    </w:p>
    <w:p>
      <w:pPr>
        <w:pStyle w:val="8"/>
        <w:spacing w:line="360" w:lineRule="exact"/>
        <w:ind w:firstLine="1185" w:firstLineChars="484"/>
        <w:rPr>
          <w:rFonts w:hAnsi="宋体" w:cs="宋体"/>
          <w:b/>
          <w:bCs/>
          <w:sz w:val="24"/>
          <w:szCs w:val="22"/>
        </w:rPr>
      </w:pPr>
      <w:r>
        <w:rPr>
          <w:rFonts w:hint="eastAsia" w:hAnsi="宋体" w:cs="宋体"/>
          <w:b/>
          <w:bCs/>
          <w:sz w:val="24"/>
          <w:szCs w:val="22"/>
          <w:lang w:val="zh-CN"/>
        </w:rPr>
        <w:t>通讯地址：</w:t>
      </w:r>
      <w:r>
        <w:rPr>
          <w:rFonts w:hint="eastAsia" w:ascii="宋体" w:hAnsi="宋体" w:cs="宋体"/>
          <w:kern w:val="0"/>
          <w:sz w:val="24"/>
        </w:rPr>
        <w:t>宜宾市江安县绕城路西段800号</w:t>
      </w:r>
    </w:p>
    <w:p>
      <w:pPr>
        <w:pStyle w:val="8"/>
        <w:spacing w:line="360" w:lineRule="exact"/>
        <w:ind w:left="0" w:leftChars="0" w:firstLine="1225" w:firstLineChars="500"/>
        <w:rPr>
          <w:rFonts w:hAnsi="宋体" w:cs="宋体"/>
          <w:b/>
          <w:bCs/>
          <w:sz w:val="24"/>
          <w:szCs w:val="22"/>
        </w:rPr>
      </w:pPr>
      <w:r>
        <w:rPr>
          <w:rFonts w:hint="eastAsia" w:hAnsi="宋体" w:cs="宋体"/>
          <w:b/>
          <w:bCs/>
          <w:sz w:val="24"/>
          <w:szCs w:val="22"/>
        </w:rPr>
        <w:t>联系人：</w:t>
      </w:r>
      <w:r>
        <w:rPr>
          <w:rFonts w:hint="eastAsia" w:ascii="宋体" w:hAnsi="宋体" w:cs="宋体"/>
          <w:kern w:val="0"/>
          <w:sz w:val="24"/>
        </w:rPr>
        <w:t>吴老师</w:t>
      </w:r>
    </w:p>
    <w:p>
      <w:pPr>
        <w:pStyle w:val="8"/>
        <w:spacing w:line="360" w:lineRule="exact"/>
        <w:ind w:firstLine="1185" w:firstLineChars="484"/>
        <w:rPr>
          <w:rFonts w:ascii="宋体" w:hAnsi="宋体" w:cs="宋体"/>
          <w:kern w:val="0"/>
          <w:sz w:val="24"/>
        </w:rPr>
      </w:pPr>
      <w:r>
        <w:rPr>
          <w:rFonts w:hint="eastAsia" w:hAnsi="宋体" w:cs="宋体"/>
          <w:b/>
          <w:bCs/>
          <w:sz w:val="24"/>
          <w:szCs w:val="22"/>
        </w:rPr>
        <w:t>电  话：</w:t>
      </w:r>
      <w:r>
        <w:rPr>
          <w:rFonts w:hint="eastAsia" w:ascii="宋体" w:hAnsi="宋体" w:cs="宋体"/>
          <w:kern w:val="0"/>
          <w:sz w:val="24"/>
        </w:rPr>
        <w:t>18383142010</w:t>
      </w:r>
    </w:p>
    <w:p/>
    <w:p>
      <w:pPr>
        <w:tabs>
          <w:tab w:val="left" w:pos="2310"/>
        </w:tabs>
        <w:spacing w:line="440" w:lineRule="exact"/>
        <w:ind w:right="690" w:rightChars="200" w:firstLine="1725" w:firstLineChars="500"/>
        <w:rPr>
          <w:rFonts w:hint="eastAsia"/>
          <w:color w:val="auto"/>
          <w:highlight w:val="none"/>
        </w:rPr>
      </w:pPr>
    </w:p>
    <w:p>
      <w:pPr>
        <w:jc w:val="center"/>
        <w:outlineLvl w:val="0"/>
        <w:rPr>
          <w:rFonts w:hint="eastAsia"/>
          <w:b/>
          <w:bCs/>
          <w:color w:val="auto"/>
          <w:sz w:val="32"/>
          <w:szCs w:val="32"/>
          <w:highlight w:val="none"/>
        </w:rPr>
      </w:pPr>
      <w:bookmarkStart w:id="32" w:name="_Toc30738_WPSOffice_Level1"/>
      <w:bookmarkStart w:id="33" w:name="_Toc12857"/>
      <w:bookmarkStart w:id="34" w:name="_Toc4616427"/>
      <w:r>
        <w:rPr>
          <w:rFonts w:hint="eastAsia"/>
          <w:color w:val="auto"/>
          <w:highlight w:val="none"/>
        </w:rPr>
        <w:br w:type="page"/>
      </w:r>
      <w:r>
        <w:rPr>
          <w:rFonts w:hint="eastAsia"/>
          <w:b/>
          <w:bCs/>
          <w:color w:val="auto"/>
          <w:sz w:val="32"/>
          <w:szCs w:val="32"/>
          <w:highlight w:val="none"/>
        </w:rPr>
        <w:t>第二章  谈判须知</w:t>
      </w:r>
      <w:bookmarkEnd w:id="4"/>
      <w:bookmarkEnd w:id="5"/>
      <w:bookmarkEnd w:id="6"/>
      <w:bookmarkEnd w:id="7"/>
      <w:bookmarkEnd w:id="8"/>
      <w:bookmarkEnd w:id="9"/>
      <w:bookmarkEnd w:id="10"/>
      <w:bookmarkEnd w:id="11"/>
      <w:bookmarkEnd w:id="12"/>
      <w:bookmarkEnd w:id="13"/>
      <w:bookmarkEnd w:id="14"/>
      <w:bookmarkEnd w:id="15"/>
      <w:bookmarkEnd w:id="16"/>
      <w:bookmarkEnd w:id="32"/>
      <w:bookmarkEnd w:id="33"/>
      <w:bookmarkEnd w:id="34"/>
    </w:p>
    <w:p>
      <w:pPr>
        <w:pStyle w:val="4"/>
        <w:keepNext w:val="0"/>
        <w:keepLines w:val="0"/>
        <w:spacing w:line="240" w:lineRule="atLeast"/>
        <w:jc w:val="center"/>
        <w:rPr>
          <w:rFonts w:hint="eastAsia" w:ascii="宋体" w:hAnsi="Times New Roman" w:eastAsia="宋体"/>
          <w:color w:val="auto"/>
          <w:kern w:val="0"/>
          <w:sz w:val="30"/>
          <w:szCs w:val="30"/>
          <w:highlight w:val="none"/>
        </w:rPr>
      </w:pPr>
      <w:r>
        <w:rPr>
          <w:rFonts w:hint="eastAsia" w:ascii="宋体" w:hAnsi="Times New Roman" w:eastAsia="宋体"/>
          <w:color w:val="auto"/>
          <w:kern w:val="0"/>
          <w:sz w:val="30"/>
          <w:szCs w:val="30"/>
          <w:highlight w:val="none"/>
        </w:rPr>
        <w:t xml:space="preserve"> </w:t>
      </w:r>
      <w:bookmarkStart w:id="35" w:name="_Toc4616428"/>
      <w:r>
        <w:rPr>
          <w:rFonts w:hint="eastAsia" w:ascii="宋体" w:hAnsi="Times New Roman" w:eastAsia="宋体"/>
          <w:color w:val="auto"/>
          <w:kern w:val="0"/>
          <w:sz w:val="30"/>
          <w:szCs w:val="30"/>
          <w:highlight w:val="none"/>
        </w:rPr>
        <w:t>一、供应商须知附表</w:t>
      </w:r>
      <w:bookmarkEnd w:id="35"/>
    </w:p>
    <w:tbl>
      <w:tblPr>
        <w:tblStyle w:val="12"/>
        <w:tblW w:w="9745"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846"/>
        <w:gridCol w:w="2340"/>
        <w:gridCol w:w="6559"/>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tblHeader/>
          <w:jc w:val="center"/>
        </w:trPr>
        <w:tc>
          <w:tcPr>
            <w:tcW w:w="846" w:type="dxa"/>
            <w:noWrap w:val="0"/>
            <w:vAlign w:val="center"/>
          </w:tcPr>
          <w:p>
            <w:pPr>
              <w:pStyle w:val="18"/>
              <w:spacing w:line="320" w:lineRule="exact"/>
              <w:ind w:left="9"/>
              <w:jc w:val="center"/>
              <w:rPr>
                <w:rFonts w:hint="eastAsia"/>
                <w:color w:val="auto"/>
                <w:highlight w:val="none"/>
                <w:lang w:val="zh-CN"/>
              </w:rPr>
            </w:pPr>
            <w:r>
              <w:rPr>
                <w:rFonts w:hint="eastAsia"/>
                <w:color w:val="auto"/>
                <w:highlight w:val="none"/>
                <w:lang w:val="zh-CN"/>
              </w:rPr>
              <w:t xml:space="preserve">序号 </w:t>
            </w:r>
          </w:p>
        </w:tc>
        <w:tc>
          <w:tcPr>
            <w:tcW w:w="2340" w:type="dxa"/>
            <w:noWrap w:val="0"/>
            <w:vAlign w:val="center"/>
          </w:tcPr>
          <w:p>
            <w:pPr>
              <w:pStyle w:val="18"/>
              <w:spacing w:line="320" w:lineRule="exact"/>
              <w:ind w:left="38"/>
              <w:jc w:val="center"/>
              <w:rPr>
                <w:rFonts w:hint="eastAsia"/>
                <w:color w:val="auto"/>
                <w:highlight w:val="none"/>
                <w:lang w:val="zh-CN"/>
              </w:rPr>
            </w:pPr>
            <w:r>
              <w:rPr>
                <w:rFonts w:hint="eastAsia"/>
                <w:color w:val="auto"/>
                <w:highlight w:val="none"/>
                <w:lang w:val="zh-CN"/>
              </w:rPr>
              <w:t xml:space="preserve">应知事项 </w:t>
            </w:r>
          </w:p>
        </w:tc>
        <w:tc>
          <w:tcPr>
            <w:tcW w:w="6559" w:type="dxa"/>
            <w:noWrap w:val="0"/>
            <w:vAlign w:val="center"/>
          </w:tcPr>
          <w:p>
            <w:pPr>
              <w:pStyle w:val="18"/>
              <w:spacing w:line="320" w:lineRule="exact"/>
              <w:jc w:val="center"/>
              <w:rPr>
                <w:rFonts w:hint="eastAsia"/>
                <w:color w:val="auto"/>
                <w:highlight w:val="none"/>
                <w:lang w:val="zh-CN"/>
              </w:rPr>
            </w:pPr>
            <w:r>
              <w:rPr>
                <w:rFonts w:hint="eastAsia"/>
                <w:color w:val="auto"/>
                <w:highlight w:val="none"/>
                <w:lang w:val="zh-CN"/>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86" w:hRule="atLeast"/>
          <w:jc w:val="center"/>
        </w:trPr>
        <w:tc>
          <w:tcPr>
            <w:tcW w:w="846" w:type="dxa"/>
            <w:noWrap w:val="0"/>
            <w:vAlign w:val="center"/>
          </w:tcPr>
          <w:p>
            <w:pPr>
              <w:spacing w:line="320" w:lineRule="exact"/>
              <w:ind w:right="230"/>
              <w:jc w:val="center"/>
              <w:rPr>
                <w:rFonts w:hint="eastAsia" w:hAnsi="宋体" w:cs="宋体"/>
                <w:color w:val="auto"/>
                <w:sz w:val="24"/>
                <w:szCs w:val="24"/>
                <w:highlight w:val="none"/>
                <w:lang w:val="zh-CN"/>
              </w:rPr>
            </w:pPr>
            <w:r>
              <w:rPr>
                <w:rFonts w:hint="eastAsia" w:hAnsi="宋体" w:cs="宋体"/>
                <w:color w:val="auto"/>
                <w:sz w:val="24"/>
                <w:szCs w:val="24"/>
                <w:highlight w:val="none"/>
                <w:lang w:val="zh-CN"/>
              </w:rPr>
              <w:t>1</w:t>
            </w:r>
          </w:p>
        </w:tc>
        <w:tc>
          <w:tcPr>
            <w:tcW w:w="2340" w:type="dxa"/>
            <w:noWrap w:val="0"/>
            <w:vAlign w:val="center"/>
          </w:tcPr>
          <w:p>
            <w:pPr>
              <w:spacing w:line="320" w:lineRule="exact"/>
              <w:rPr>
                <w:rFonts w:hint="eastAsia" w:hAnsi="宋体" w:cs="宋体"/>
                <w:color w:val="auto"/>
                <w:sz w:val="24"/>
                <w:szCs w:val="24"/>
                <w:highlight w:val="none"/>
                <w:lang w:val="zh-CN"/>
              </w:rPr>
            </w:pPr>
            <w:r>
              <w:rPr>
                <w:rFonts w:hint="eastAsia" w:hAnsi="宋体" w:cs="宋体"/>
                <w:color w:val="auto"/>
                <w:sz w:val="24"/>
                <w:szCs w:val="24"/>
                <w:highlight w:val="none"/>
                <w:lang w:val="zh-CN"/>
              </w:rPr>
              <w:t>确定邀请谈判的方式</w:t>
            </w:r>
          </w:p>
        </w:tc>
        <w:tc>
          <w:tcPr>
            <w:tcW w:w="6559" w:type="dxa"/>
            <w:noWrap w:val="0"/>
            <w:vAlign w:val="center"/>
          </w:tcPr>
          <w:p>
            <w:pPr>
              <w:spacing w:line="320" w:lineRule="exact"/>
              <w:rPr>
                <w:rFonts w:hint="eastAsia" w:hAnsi="宋体" w:cs="宋体"/>
                <w:color w:val="auto"/>
                <w:sz w:val="24"/>
                <w:szCs w:val="24"/>
                <w:highlight w:val="none"/>
                <w:lang w:val="zh-CN"/>
              </w:rPr>
            </w:pPr>
            <w:r>
              <w:rPr>
                <w:rFonts w:hint="eastAsia" w:hAnsi="宋体" w:cs="宋体"/>
                <w:color w:val="auto"/>
                <w:sz w:val="24"/>
                <w:szCs w:val="24"/>
                <w:highlight w:val="none"/>
                <w:lang w:val="zh-CN"/>
              </w:rPr>
              <w:t>本次竞争性谈判邀请在</w:t>
            </w:r>
            <w:r>
              <w:rPr>
                <w:rFonts w:hint="eastAsia" w:hAnsi="宋体" w:cs="宋体"/>
                <w:color w:val="auto"/>
                <w:sz w:val="24"/>
                <w:szCs w:val="24"/>
                <w:highlight w:val="none"/>
                <w:lang w:val="zh-CN" w:eastAsia="zh-CN"/>
              </w:rPr>
              <w:t>江安县中医医院</w:t>
            </w:r>
            <w:r>
              <w:rPr>
                <w:rFonts w:hint="eastAsia" w:hAnsi="宋体" w:cs="宋体"/>
                <w:color w:val="auto"/>
                <w:sz w:val="24"/>
                <w:szCs w:val="24"/>
                <w:highlight w:val="none"/>
                <w:lang w:val="en-US" w:eastAsia="zh-CN"/>
              </w:rPr>
              <w:t>官方网站</w:t>
            </w:r>
            <w:r>
              <w:rPr>
                <w:rFonts w:hint="eastAsia" w:hAnsi="宋体" w:cs="宋体"/>
                <w:color w:val="auto"/>
                <w:sz w:val="24"/>
                <w:szCs w:val="24"/>
                <w:highlight w:val="none"/>
                <w:lang w:val="zh-CN"/>
              </w:rPr>
              <w:t>上以公告形式发布；</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938" w:hRule="atLeast"/>
          <w:jc w:val="center"/>
        </w:trPr>
        <w:tc>
          <w:tcPr>
            <w:tcW w:w="846" w:type="dxa"/>
            <w:noWrap w:val="0"/>
            <w:vAlign w:val="center"/>
          </w:tcPr>
          <w:p>
            <w:pPr>
              <w:pStyle w:val="18"/>
              <w:spacing w:line="320" w:lineRule="exact"/>
              <w:ind w:right="230"/>
              <w:jc w:val="center"/>
              <w:rPr>
                <w:rFonts w:hint="eastAsia"/>
                <w:color w:val="000000"/>
                <w:highlight w:val="yellow"/>
                <w:lang w:val="zh-CN"/>
              </w:rPr>
            </w:pPr>
            <w:r>
              <w:rPr>
                <w:rFonts w:hint="eastAsia"/>
                <w:color w:val="000000"/>
                <w:highlight w:val="none"/>
                <w:lang w:val="zh-CN"/>
              </w:rPr>
              <w:t>2</w:t>
            </w:r>
          </w:p>
        </w:tc>
        <w:tc>
          <w:tcPr>
            <w:tcW w:w="2340" w:type="dxa"/>
            <w:noWrap w:val="0"/>
            <w:vAlign w:val="center"/>
          </w:tcPr>
          <w:p>
            <w:pPr>
              <w:spacing w:line="320" w:lineRule="exact"/>
              <w:jc w:val="center"/>
              <w:rPr>
                <w:rFonts w:hint="eastAsia" w:hAnsi="宋体" w:cs="宋体"/>
                <w:color w:val="000000"/>
                <w:sz w:val="24"/>
                <w:szCs w:val="24"/>
                <w:highlight w:val="none"/>
                <w:lang w:val="zh-CN"/>
              </w:rPr>
            </w:pPr>
            <w:r>
              <w:rPr>
                <w:rFonts w:hint="eastAsia" w:hAnsi="宋体" w:cs="宋体"/>
                <w:color w:val="000000"/>
                <w:sz w:val="24"/>
                <w:szCs w:val="24"/>
                <w:highlight w:val="none"/>
                <w:lang w:val="zh-CN"/>
              </w:rPr>
              <w:t>采购预算</w:t>
            </w:r>
          </w:p>
          <w:p>
            <w:pPr>
              <w:spacing w:line="320" w:lineRule="exact"/>
              <w:jc w:val="center"/>
              <w:rPr>
                <w:rFonts w:hint="eastAsia" w:hAnsi="宋体" w:cs="宋体"/>
                <w:color w:val="000000"/>
                <w:sz w:val="24"/>
                <w:szCs w:val="24"/>
                <w:highlight w:val="none"/>
                <w:lang w:val="zh-CN"/>
              </w:rPr>
            </w:pPr>
            <w:r>
              <w:rPr>
                <w:rFonts w:hint="eastAsia" w:hAnsi="宋体" w:cs="宋体"/>
                <w:b/>
                <w:bCs/>
                <w:color w:val="000000"/>
                <w:sz w:val="24"/>
                <w:szCs w:val="24"/>
                <w:highlight w:val="none"/>
                <w:lang w:val="zh-CN"/>
              </w:rPr>
              <w:t>（实质性要求）</w:t>
            </w:r>
          </w:p>
        </w:tc>
        <w:tc>
          <w:tcPr>
            <w:tcW w:w="6559" w:type="dxa"/>
            <w:noWrap w:val="0"/>
            <w:vAlign w:val="top"/>
          </w:tcPr>
          <w:p>
            <w:pPr>
              <w:spacing w:line="320" w:lineRule="exact"/>
              <w:jc w:val="left"/>
              <w:rPr>
                <w:rFonts w:hint="default" w:hAnsi="宋体" w:eastAsia="宋体" w:cs="宋体"/>
                <w:color w:val="000000"/>
                <w:sz w:val="24"/>
                <w:szCs w:val="24"/>
                <w:highlight w:val="yellow"/>
                <w:lang w:val="en-US" w:eastAsia="zh-CN"/>
              </w:rPr>
            </w:pPr>
            <w:r>
              <w:rPr>
                <w:rFonts w:hint="eastAsia" w:hAnsi="宋体" w:cs="宋体"/>
                <w:color w:val="000000"/>
                <w:sz w:val="24"/>
                <w:szCs w:val="24"/>
                <w:highlight w:val="none"/>
              </w:rPr>
              <w:t>1</w:t>
            </w:r>
            <w:r>
              <w:rPr>
                <w:rFonts w:hint="eastAsia" w:hAnsi="宋体" w:cs="宋体"/>
                <w:color w:val="FF0000"/>
                <w:sz w:val="24"/>
                <w:szCs w:val="24"/>
                <w:highlight w:val="yellow"/>
              </w:rPr>
              <w:t>、</w:t>
            </w:r>
            <w:r>
              <w:rPr>
                <w:rFonts w:hint="eastAsia" w:hAnsi="宋体" w:cs="宋体"/>
                <w:color w:val="000000"/>
                <w:sz w:val="24"/>
                <w:szCs w:val="24"/>
                <w:highlight w:val="yellow"/>
                <w:lang w:val="zh-CN"/>
              </w:rPr>
              <w:t>采购预算：</w:t>
            </w:r>
            <w:r>
              <w:rPr>
                <w:rFonts w:hint="eastAsia" w:hAnsi="宋体" w:cs="宋体"/>
                <w:color w:val="000000"/>
                <w:sz w:val="24"/>
                <w:szCs w:val="24"/>
                <w:highlight w:val="yellow"/>
                <w:lang w:val="en-US" w:eastAsia="zh-CN"/>
              </w:rPr>
              <w:t>8.5万元</w:t>
            </w:r>
          </w:p>
          <w:p>
            <w:pPr>
              <w:spacing w:line="320" w:lineRule="exact"/>
              <w:jc w:val="left"/>
              <w:rPr>
                <w:rFonts w:hint="eastAsia" w:hAnsi="宋体" w:cs="宋体"/>
                <w:color w:val="000000"/>
                <w:sz w:val="24"/>
                <w:szCs w:val="24"/>
                <w:highlight w:val="none"/>
                <w:lang w:val="zh-CN"/>
              </w:rPr>
            </w:pPr>
            <w:r>
              <w:rPr>
                <w:rFonts w:hint="eastAsia" w:hAnsi="宋体" w:cs="宋体"/>
                <w:color w:val="000000"/>
                <w:sz w:val="24"/>
                <w:szCs w:val="24"/>
                <w:highlight w:val="none"/>
              </w:rPr>
              <w:t>2、</w:t>
            </w:r>
            <w:r>
              <w:rPr>
                <w:rFonts w:hint="eastAsia" w:hAnsi="宋体" w:cs="宋体"/>
                <w:color w:val="000000"/>
                <w:sz w:val="24"/>
                <w:szCs w:val="24"/>
                <w:highlight w:val="none"/>
                <w:lang w:val="zh-CN"/>
              </w:rPr>
              <w:t>供应商从进入二次报价起（供应商在未提高响应文件中承诺的产品及其服务质量的情况下）每一次报价都不得高于该项目之前的报价，若高于之前的报价作废标处理；对于报价差异较大谈判小组有权要求其说明原因，若不能科学合理的解释说明，则视为无效报价并作无效响应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jc w:val="center"/>
        </w:trPr>
        <w:tc>
          <w:tcPr>
            <w:tcW w:w="846" w:type="dxa"/>
            <w:noWrap w:val="0"/>
            <w:vAlign w:val="center"/>
          </w:tcPr>
          <w:p>
            <w:pPr>
              <w:pStyle w:val="18"/>
              <w:spacing w:line="320" w:lineRule="exact"/>
              <w:ind w:right="230"/>
              <w:jc w:val="center"/>
              <w:rPr>
                <w:rFonts w:hint="eastAsia"/>
                <w:color w:val="auto"/>
                <w:highlight w:val="none"/>
              </w:rPr>
            </w:pPr>
            <w:r>
              <w:rPr>
                <w:rFonts w:hint="eastAsia"/>
                <w:color w:val="auto"/>
                <w:highlight w:val="none"/>
              </w:rPr>
              <w:t>3</w:t>
            </w:r>
          </w:p>
        </w:tc>
        <w:tc>
          <w:tcPr>
            <w:tcW w:w="2340" w:type="dxa"/>
            <w:noWrap w:val="0"/>
            <w:vAlign w:val="center"/>
          </w:tcPr>
          <w:p>
            <w:pPr>
              <w:pStyle w:val="18"/>
              <w:spacing w:line="320" w:lineRule="exact"/>
              <w:ind w:left="38"/>
              <w:jc w:val="center"/>
              <w:rPr>
                <w:rFonts w:hint="eastAsia"/>
                <w:color w:val="auto"/>
                <w:highlight w:val="none"/>
              </w:rPr>
            </w:pPr>
            <w:r>
              <w:rPr>
                <w:rFonts w:hint="eastAsia"/>
                <w:color w:val="auto"/>
                <w:highlight w:val="none"/>
                <w:lang w:eastAsia="zh-CN"/>
              </w:rPr>
              <w:t>服务时间</w:t>
            </w:r>
          </w:p>
          <w:p>
            <w:pPr>
              <w:pStyle w:val="18"/>
              <w:spacing w:line="320" w:lineRule="exact"/>
              <w:ind w:left="38"/>
              <w:jc w:val="center"/>
              <w:rPr>
                <w:rFonts w:hint="eastAsia"/>
                <w:color w:val="auto"/>
                <w:highlight w:val="none"/>
                <w:lang w:val="zh-CN"/>
              </w:rPr>
            </w:pPr>
            <w:r>
              <w:rPr>
                <w:rFonts w:hint="eastAsia"/>
                <w:b/>
                <w:color w:val="auto"/>
                <w:highlight w:val="none"/>
              </w:rPr>
              <w:t>（实质性要求）</w:t>
            </w:r>
          </w:p>
        </w:tc>
        <w:tc>
          <w:tcPr>
            <w:tcW w:w="6559" w:type="dxa"/>
            <w:noWrap w:val="0"/>
            <w:vAlign w:val="center"/>
          </w:tcPr>
          <w:p>
            <w:pPr>
              <w:pStyle w:val="18"/>
              <w:spacing w:line="320" w:lineRule="exact"/>
              <w:ind w:firstLine="245" w:firstLineChars="100"/>
              <w:rPr>
                <w:rFonts w:hint="eastAsia"/>
                <w:color w:val="auto"/>
                <w:highlight w:val="none"/>
                <w:lang w:val="zh-CN"/>
              </w:rPr>
            </w:pPr>
            <w:r>
              <w:rPr>
                <w:rFonts w:hint="eastAsia"/>
                <w:color w:val="auto"/>
                <w:highlight w:val="none"/>
                <w:lang w:val="zh-CN"/>
              </w:rPr>
              <w:t>详见商务部分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85" w:hRule="atLeast"/>
          <w:jc w:val="center"/>
        </w:trPr>
        <w:tc>
          <w:tcPr>
            <w:tcW w:w="846" w:type="dxa"/>
            <w:noWrap w:val="0"/>
            <w:vAlign w:val="center"/>
          </w:tcPr>
          <w:p>
            <w:pPr>
              <w:pStyle w:val="18"/>
              <w:spacing w:line="320" w:lineRule="exact"/>
              <w:ind w:right="230"/>
              <w:jc w:val="center"/>
              <w:rPr>
                <w:rFonts w:hint="eastAsia"/>
                <w:color w:val="auto"/>
                <w:highlight w:val="none"/>
              </w:rPr>
            </w:pPr>
            <w:r>
              <w:rPr>
                <w:rFonts w:hint="eastAsia"/>
                <w:color w:val="auto"/>
                <w:highlight w:val="none"/>
              </w:rPr>
              <w:t>4</w:t>
            </w:r>
          </w:p>
        </w:tc>
        <w:tc>
          <w:tcPr>
            <w:tcW w:w="2340" w:type="dxa"/>
            <w:noWrap w:val="0"/>
            <w:vAlign w:val="center"/>
          </w:tcPr>
          <w:p>
            <w:pPr>
              <w:spacing w:line="320" w:lineRule="exact"/>
              <w:jc w:val="center"/>
              <w:rPr>
                <w:rFonts w:hint="eastAsia" w:hAnsi="宋体" w:cs="宋体"/>
                <w:color w:val="auto"/>
                <w:sz w:val="24"/>
                <w:szCs w:val="24"/>
                <w:highlight w:val="none"/>
                <w:lang w:val="zh-CN"/>
              </w:rPr>
            </w:pPr>
            <w:r>
              <w:rPr>
                <w:rFonts w:hint="eastAsia" w:hAnsi="宋体" w:cs="宋体"/>
                <w:color w:val="auto"/>
                <w:sz w:val="24"/>
                <w:szCs w:val="24"/>
                <w:highlight w:val="none"/>
                <w:lang w:val="zh-CN"/>
              </w:rPr>
              <w:t>质量要求、验收标准</w:t>
            </w:r>
          </w:p>
        </w:tc>
        <w:tc>
          <w:tcPr>
            <w:tcW w:w="6559" w:type="dxa"/>
            <w:noWrap w:val="0"/>
            <w:vAlign w:val="center"/>
          </w:tcPr>
          <w:p>
            <w:pPr>
              <w:spacing w:line="320" w:lineRule="exact"/>
              <w:ind w:left="172" w:leftChars="50"/>
              <w:rPr>
                <w:rFonts w:hint="eastAsia" w:hAnsi="宋体" w:cs="宋体"/>
                <w:color w:val="auto"/>
                <w:sz w:val="24"/>
                <w:szCs w:val="24"/>
                <w:highlight w:val="none"/>
                <w:lang w:val="zh-CN"/>
              </w:rPr>
            </w:pPr>
            <w:r>
              <w:rPr>
                <w:rFonts w:hint="eastAsia" w:hAnsi="宋体" w:cs="宋体"/>
                <w:color w:val="auto"/>
                <w:sz w:val="24"/>
                <w:szCs w:val="22"/>
                <w:highlight w:val="none"/>
              </w:rPr>
              <w:t>详见谈判文件第五章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19" w:hRule="atLeast"/>
          <w:jc w:val="center"/>
        </w:trPr>
        <w:tc>
          <w:tcPr>
            <w:tcW w:w="846" w:type="dxa"/>
            <w:noWrap w:val="0"/>
            <w:vAlign w:val="center"/>
          </w:tcPr>
          <w:p>
            <w:pPr>
              <w:pStyle w:val="18"/>
              <w:spacing w:line="320" w:lineRule="exact"/>
              <w:ind w:right="230"/>
              <w:jc w:val="center"/>
              <w:rPr>
                <w:rFonts w:hint="eastAsia"/>
                <w:color w:val="auto"/>
                <w:highlight w:val="none"/>
              </w:rPr>
            </w:pPr>
            <w:r>
              <w:rPr>
                <w:rFonts w:hint="eastAsia"/>
                <w:color w:val="auto"/>
                <w:highlight w:val="none"/>
              </w:rPr>
              <w:t>5</w:t>
            </w:r>
          </w:p>
        </w:tc>
        <w:tc>
          <w:tcPr>
            <w:tcW w:w="2340" w:type="dxa"/>
            <w:noWrap w:val="0"/>
            <w:vAlign w:val="center"/>
          </w:tcPr>
          <w:p>
            <w:pPr>
              <w:pStyle w:val="18"/>
              <w:spacing w:line="320" w:lineRule="exact"/>
              <w:ind w:left="38"/>
              <w:jc w:val="center"/>
              <w:rPr>
                <w:rFonts w:hint="eastAsia"/>
                <w:color w:val="auto"/>
                <w:highlight w:val="none"/>
                <w:lang w:val="zh-CN"/>
              </w:rPr>
            </w:pPr>
            <w:r>
              <w:rPr>
                <w:rFonts w:hint="eastAsia"/>
                <w:color w:val="auto"/>
                <w:highlight w:val="none"/>
                <w:lang w:val="zh-CN"/>
              </w:rPr>
              <w:t>联合体</w:t>
            </w:r>
          </w:p>
        </w:tc>
        <w:tc>
          <w:tcPr>
            <w:tcW w:w="6559" w:type="dxa"/>
            <w:noWrap w:val="0"/>
            <w:vAlign w:val="center"/>
          </w:tcPr>
          <w:p>
            <w:pPr>
              <w:pStyle w:val="18"/>
              <w:spacing w:line="320" w:lineRule="exact"/>
              <w:ind w:firstLine="245" w:firstLineChars="100"/>
              <w:jc w:val="both"/>
              <w:rPr>
                <w:rFonts w:hint="eastAsia"/>
                <w:color w:val="auto"/>
                <w:highlight w:val="none"/>
                <w:lang w:val="zh-CN"/>
              </w:rPr>
            </w:pPr>
            <w:r>
              <w:rPr>
                <w:rFonts w:hint="eastAsia"/>
                <w:color w:val="auto"/>
                <w:highlight w:val="none"/>
                <w:lang w:val="zh-CN"/>
              </w:rPr>
              <w:t>不允许联合体参加谈判。</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jc w:val="center"/>
        </w:trPr>
        <w:tc>
          <w:tcPr>
            <w:tcW w:w="846" w:type="dxa"/>
            <w:noWrap w:val="0"/>
            <w:vAlign w:val="center"/>
          </w:tcPr>
          <w:p>
            <w:pPr>
              <w:pStyle w:val="18"/>
              <w:spacing w:line="320" w:lineRule="exact"/>
              <w:ind w:right="230"/>
              <w:jc w:val="center"/>
              <w:rPr>
                <w:rFonts w:hint="eastAsia"/>
                <w:color w:val="auto"/>
                <w:highlight w:val="none"/>
              </w:rPr>
            </w:pPr>
            <w:r>
              <w:rPr>
                <w:rFonts w:hint="eastAsia"/>
                <w:color w:val="auto"/>
                <w:highlight w:val="none"/>
              </w:rPr>
              <w:t>6</w:t>
            </w:r>
          </w:p>
        </w:tc>
        <w:tc>
          <w:tcPr>
            <w:tcW w:w="2340" w:type="dxa"/>
            <w:noWrap w:val="0"/>
            <w:vAlign w:val="center"/>
          </w:tcPr>
          <w:p>
            <w:pPr>
              <w:pStyle w:val="18"/>
              <w:spacing w:line="320" w:lineRule="exact"/>
              <w:ind w:left="38"/>
              <w:jc w:val="center"/>
              <w:rPr>
                <w:rFonts w:hint="eastAsia"/>
                <w:color w:val="auto"/>
                <w:highlight w:val="none"/>
                <w:lang w:val="zh-CN"/>
              </w:rPr>
            </w:pPr>
            <w:r>
              <w:rPr>
                <w:rFonts w:hint="eastAsia"/>
                <w:color w:val="auto"/>
                <w:highlight w:val="none"/>
                <w:lang w:val="zh-CN"/>
              </w:rPr>
              <w:t>是否专门面向</w:t>
            </w:r>
          </w:p>
          <w:p>
            <w:pPr>
              <w:pStyle w:val="18"/>
              <w:spacing w:line="320" w:lineRule="exact"/>
              <w:ind w:left="38"/>
              <w:jc w:val="center"/>
              <w:rPr>
                <w:rFonts w:hint="eastAsia"/>
                <w:color w:val="auto"/>
                <w:highlight w:val="none"/>
                <w:lang w:val="zh-CN"/>
              </w:rPr>
            </w:pPr>
            <w:r>
              <w:rPr>
                <w:rFonts w:hint="eastAsia"/>
                <w:color w:val="auto"/>
                <w:highlight w:val="none"/>
                <w:lang w:val="zh-CN"/>
              </w:rPr>
              <w:t>中小企业的项</w:t>
            </w:r>
          </w:p>
          <w:p>
            <w:pPr>
              <w:pStyle w:val="18"/>
              <w:spacing w:line="320" w:lineRule="exact"/>
              <w:ind w:left="38"/>
              <w:jc w:val="center"/>
              <w:rPr>
                <w:rFonts w:hint="eastAsia"/>
                <w:color w:val="auto"/>
                <w:highlight w:val="none"/>
                <w:lang w:val="zh-CN"/>
              </w:rPr>
            </w:pPr>
            <w:r>
              <w:rPr>
                <w:rFonts w:hint="eastAsia"/>
                <w:color w:val="auto"/>
                <w:highlight w:val="none"/>
                <w:lang w:val="zh-CN"/>
              </w:rPr>
              <w:t>目或专门面向</w:t>
            </w:r>
          </w:p>
          <w:p>
            <w:pPr>
              <w:pStyle w:val="18"/>
              <w:spacing w:line="320" w:lineRule="exact"/>
              <w:ind w:left="38"/>
              <w:jc w:val="center"/>
              <w:rPr>
                <w:rFonts w:hint="eastAsia"/>
                <w:color w:val="auto"/>
                <w:highlight w:val="none"/>
                <w:lang w:val="zh-CN"/>
              </w:rPr>
            </w:pPr>
            <w:r>
              <w:rPr>
                <w:rFonts w:hint="eastAsia"/>
                <w:color w:val="auto"/>
                <w:highlight w:val="none"/>
                <w:lang w:val="zh-CN"/>
              </w:rPr>
              <w:t>小微企业采购</w:t>
            </w:r>
          </w:p>
          <w:p>
            <w:pPr>
              <w:pStyle w:val="18"/>
              <w:spacing w:line="320" w:lineRule="exact"/>
              <w:ind w:left="38"/>
              <w:jc w:val="center"/>
              <w:rPr>
                <w:rFonts w:hint="eastAsia"/>
                <w:color w:val="auto"/>
                <w:highlight w:val="none"/>
                <w:lang w:val="zh-CN"/>
              </w:rPr>
            </w:pPr>
            <w:r>
              <w:rPr>
                <w:rFonts w:hint="eastAsia"/>
                <w:color w:val="auto"/>
                <w:highlight w:val="none"/>
                <w:lang w:val="zh-CN"/>
              </w:rPr>
              <w:t>的项目</w:t>
            </w:r>
          </w:p>
        </w:tc>
        <w:tc>
          <w:tcPr>
            <w:tcW w:w="6559" w:type="dxa"/>
            <w:noWrap w:val="0"/>
            <w:vAlign w:val="center"/>
          </w:tcPr>
          <w:p>
            <w:pPr>
              <w:pStyle w:val="18"/>
              <w:spacing w:line="320" w:lineRule="exact"/>
              <w:ind w:firstLine="245" w:firstLineChars="100"/>
              <w:jc w:val="both"/>
              <w:rPr>
                <w:rFonts w:hint="eastAsia"/>
                <w:color w:val="auto"/>
                <w:highlight w:val="none"/>
              </w:rPr>
            </w:pPr>
            <w:r>
              <w:rPr>
                <w:rFonts w:hint="eastAsia"/>
                <w:color w:val="auto"/>
                <w:highlight w:val="none"/>
                <w:lang w:val="zh-CN"/>
              </w:rPr>
              <w:t>本项目为非专门面向中小企业采购的项目，非专门面向小微企业采购的项目。非专门面向监狱企业、残疾人企业。</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jc w:val="center"/>
        </w:trPr>
        <w:tc>
          <w:tcPr>
            <w:tcW w:w="846" w:type="dxa"/>
            <w:noWrap w:val="0"/>
            <w:vAlign w:val="center"/>
          </w:tcPr>
          <w:p>
            <w:pPr>
              <w:pStyle w:val="18"/>
              <w:spacing w:line="320" w:lineRule="exact"/>
              <w:ind w:right="230"/>
              <w:jc w:val="center"/>
              <w:rPr>
                <w:rFonts w:hint="eastAsia"/>
                <w:color w:val="auto"/>
                <w:highlight w:val="none"/>
                <w:lang w:val="zh-CN"/>
              </w:rPr>
            </w:pPr>
            <w:r>
              <w:rPr>
                <w:rFonts w:hint="eastAsia"/>
                <w:color w:val="auto"/>
                <w:highlight w:val="none"/>
              </w:rPr>
              <w:t>7</w:t>
            </w:r>
          </w:p>
        </w:tc>
        <w:tc>
          <w:tcPr>
            <w:tcW w:w="2340" w:type="dxa"/>
            <w:noWrap w:val="0"/>
            <w:vAlign w:val="center"/>
          </w:tcPr>
          <w:p>
            <w:pPr>
              <w:pStyle w:val="18"/>
              <w:spacing w:line="320" w:lineRule="exact"/>
              <w:ind w:left="38"/>
              <w:jc w:val="center"/>
              <w:rPr>
                <w:rFonts w:hint="eastAsia"/>
                <w:color w:val="auto"/>
                <w:highlight w:val="none"/>
                <w:lang w:val="zh-CN"/>
              </w:rPr>
            </w:pPr>
            <w:r>
              <w:rPr>
                <w:rFonts w:hint="eastAsia"/>
                <w:color w:val="auto"/>
                <w:highlight w:val="none"/>
                <w:lang w:val="zh-CN"/>
              </w:rPr>
              <w:t>低于成本价</w:t>
            </w:r>
          </w:p>
          <w:p>
            <w:pPr>
              <w:pStyle w:val="18"/>
              <w:spacing w:line="320" w:lineRule="exact"/>
              <w:ind w:left="38"/>
              <w:jc w:val="center"/>
              <w:rPr>
                <w:rFonts w:hint="eastAsia"/>
                <w:color w:val="auto"/>
                <w:highlight w:val="none"/>
                <w:lang w:val="zh-CN"/>
              </w:rPr>
            </w:pPr>
            <w:r>
              <w:rPr>
                <w:rFonts w:hint="eastAsia"/>
                <w:color w:val="auto"/>
                <w:highlight w:val="none"/>
                <w:lang w:val="zh-CN"/>
              </w:rPr>
              <w:t>不正当竞争预防措施</w:t>
            </w:r>
          </w:p>
          <w:p>
            <w:pPr>
              <w:pStyle w:val="18"/>
              <w:spacing w:line="320" w:lineRule="exact"/>
              <w:ind w:left="38"/>
              <w:jc w:val="center"/>
              <w:rPr>
                <w:rFonts w:hint="eastAsia"/>
                <w:color w:val="auto"/>
                <w:highlight w:val="none"/>
                <w:lang w:val="zh-CN"/>
              </w:rPr>
            </w:pPr>
            <w:r>
              <w:rPr>
                <w:rFonts w:hint="eastAsia"/>
                <w:b/>
                <w:bCs/>
                <w:color w:val="auto"/>
                <w:highlight w:val="none"/>
                <w:lang w:val="zh-CN"/>
              </w:rPr>
              <w:t>（实质性要求）</w:t>
            </w:r>
          </w:p>
        </w:tc>
        <w:tc>
          <w:tcPr>
            <w:tcW w:w="6559" w:type="dxa"/>
            <w:noWrap w:val="0"/>
            <w:vAlign w:val="top"/>
          </w:tcPr>
          <w:p>
            <w:pPr>
              <w:pStyle w:val="18"/>
              <w:ind w:firstLine="245" w:firstLineChars="100"/>
              <w:jc w:val="both"/>
              <w:rPr>
                <w:rFonts w:hint="eastAsia"/>
                <w:color w:val="auto"/>
                <w:highlight w:val="none"/>
              </w:rPr>
            </w:pPr>
            <w:r>
              <w:rPr>
                <w:rFonts w:hint="eastAsia"/>
                <w:color w:val="auto"/>
                <w:highlight w:val="none"/>
              </w:rPr>
              <w:t>1. 谈判小组认为供应商的报价明显低于其他通过符合性审查供应商的报价，有可能影响产品质量或者不能诚信履约的，应当要求其在评审现场合理的时间内提供书面说明，必要时提交相关证明材料；供应商不能证明其报价合理性的，谈判小组应当将其作为无效响应处理。</w:t>
            </w:r>
          </w:p>
          <w:p>
            <w:pPr>
              <w:pStyle w:val="18"/>
              <w:ind w:firstLine="245" w:firstLineChars="100"/>
              <w:jc w:val="both"/>
              <w:rPr>
                <w:rFonts w:hint="eastAsia"/>
                <w:color w:val="auto"/>
                <w:highlight w:val="none"/>
              </w:rPr>
            </w:pPr>
            <w:r>
              <w:rPr>
                <w:rFonts w:hint="eastAsia"/>
                <w:color w:val="auto"/>
                <w:highlight w:val="none"/>
              </w:rPr>
              <w:t>供应商的书面说明材料应当按照国家财务会计制度的规定要求，逐项就供应商提供的货物、工程和服务的主营业务成本、税金及附加、销售费用、管理费用、财务费用等成本构成事项详细陈述）</w:t>
            </w:r>
          </w:p>
          <w:p>
            <w:pPr>
              <w:pStyle w:val="18"/>
              <w:ind w:firstLine="245" w:firstLineChars="100"/>
              <w:jc w:val="both"/>
              <w:rPr>
                <w:rFonts w:hint="eastAsia"/>
                <w:color w:val="auto"/>
                <w:highlight w:val="none"/>
              </w:rPr>
            </w:pPr>
            <w:r>
              <w:rPr>
                <w:rFonts w:hint="eastAsia"/>
                <w:color w:val="auto"/>
                <w:highlight w:val="none"/>
              </w:rPr>
              <w:t xml:space="preserve">2. 供应商书面说明应当签字确认或者加盖公章，否则无效。书面说明的签字确认，由其法定代表人/主要负责人/本人或者其授权代表签字确认。 </w:t>
            </w:r>
          </w:p>
          <w:p>
            <w:pPr>
              <w:pStyle w:val="18"/>
              <w:spacing w:line="320" w:lineRule="exact"/>
              <w:ind w:firstLine="245" w:firstLineChars="100"/>
              <w:jc w:val="both"/>
              <w:rPr>
                <w:rFonts w:hint="eastAsia"/>
                <w:color w:val="auto"/>
                <w:highlight w:val="none"/>
                <w:lang w:val="zh-CN"/>
              </w:rPr>
            </w:pPr>
            <w:r>
              <w:rPr>
                <w:rFonts w:hint="eastAsia"/>
                <w:color w:val="auto"/>
                <w:highlight w:val="none"/>
              </w:rPr>
              <w:t>3.供应商提供书面说明后，谈判小组应当结合采购项目采购需求、专业实际情况、供应商财务状况报告、与其他供应商比较情况等就供应商书面说明进行审查评价。供应商拒绝或者变相拒绝提供有效书面说明或者书面说明不能证明其报价合理性的或未在规定时间内递交有效书面说明书的，谈判小组应当将其响应文件作为无效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jc w:val="center"/>
        </w:trPr>
        <w:tc>
          <w:tcPr>
            <w:tcW w:w="846" w:type="dxa"/>
            <w:noWrap w:val="0"/>
            <w:vAlign w:val="center"/>
          </w:tcPr>
          <w:p>
            <w:pPr>
              <w:pStyle w:val="18"/>
              <w:spacing w:line="320" w:lineRule="exact"/>
              <w:ind w:right="230"/>
              <w:jc w:val="center"/>
              <w:rPr>
                <w:rFonts w:hint="eastAsia" w:eastAsia="宋体"/>
                <w:color w:val="auto"/>
                <w:highlight w:val="none"/>
                <w:lang w:val="zh-CN" w:eastAsia="zh-CN"/>
              </w:rPr>
            </w:pPr>
            <w:r>
              <w:rPr>
                <w:rFonts w:hint="eastAsia"/>
                <w:color w:val="auto"/>
                <w:highlight w:val="none"/>
                <w:lang w:val="en-US" w:eastAsia="zh-CN"/>
              </w:rPr>
              <w:t>8</w:t>
            </w:r>
          </w:p>
        </w:tc>
        <w:tc>
          <w:tcPr>
            <w:tcW w:w="2340" w:type="dxa"/>
            <w:noWrap w:val="0"/>
            <w:vAlign w:val="center"/>
          </w:tcPr>
          <w:p>
            <w:pPr>
              <w:pStyle w:val="18"/>
              <w:spacing w:line="320" w:lineRule="exact"/>
              <w:ind w:firstLine="490" w:firstLineChars="200"/>
              <w:jc w:val="both"/>
              <w:rPr>
                <w:rFonts w:hint="eastAsia"/>
                <w:color w:val="auto"/>
                <w:highlight w:val="none"/>
                <w:lang w:val="zh-CN"/>
              </w:rPr>
            </w:pPr>
            <w:r>
              <w:rPr>
                <w:rFonts w:hint="eastAsia"/>
                <w:color w:val="auto"/>
                <w:highlight w:val="none"/>
                <w:lang w:val="zh-CN"/>
              </w:rPr>
              <w:t>谈判保证金</w:t>
            </w:r>
          </w:p>
        </w:tc>
        <w:tc>
          <w:tcPr>
            <w:tcW w:w="6559" w:type="dxa"/>
            <w:noWrap w:val="0"/>
            <w:vAlign w:val="center"/>
          </w:tcPr>
          <w:p>
            <w:pPr>
              <w:pStyle w:val="18"/>
              <w:spacing w:line="320" w:lineRule="exact"/>
              <w:ind w:firstLine="245" w:firstLineChars="100"/>
              <w:jc w:val="both"/>
              <w:rPr>
                <w:rFonts w:hint="eastAsia"/>
                <w:color w:val="auto"/>
                <w:highlight w:val="none"/>
                <w:lang w:val="zh-CN"/>
              </w:rPr>
            </w:pPr>
            <w:r>
              <w:rPr>
                <w:rFonts w:hint="eastAsia"/>
                <w:highlight w:val="none"/>
                <w:lang w:val="zh-CN"/>
              </w:rPr>
              <w:t>本项目不收取保证金</w:t>
            </w:r>
            <w:r>
              <w:rPr>
                <w:rFonts w:hint="eastAsia"/>
                <w:color w:val="auto"/>
                <w:highlight w:val="none"/>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jc w:val="center"/>
        </w:trPr>
        <w:tc>
          <w:tcPr>
            <w:tcW w:w="846" w:type="dxa"/>
            <w:noWrap w:val="0"/>
            <w:vAlign w:val="center"/>
          </w:tcPr>
          <w:p>
            <w:pPr>
              <w:pStyle w:val="18"/>
              <w:spacing w:line="320" w:lineRule="exact"/>
              <w:ind w:right="230"/>
              <w:jc w:val="center"/>
              <w:rPr>
                <w:rFonts w:hint="default" w:eastAsia="宋体"/>
                <w:color w:val="auto"/>
                <w:highlight w:val="none"/>
                <w:lang w:val="en-US" w:eastAsia="zh-CN"/>
              </w:rPr>
            </w:pPr>
            <w:r>
              <w:rPr>
                <w:rFonts w:hint="eastAsia"/>
                <w:color w:val="auto"/>
                <w:highlight w:val="none"/>
                <w:lang w:val="en-US" w:eastAsia="zh-CN"/>
              </w:rPr>
              <w:t>9</w:t>
            </w:r>
          </w:p>
        </w:tc>
        <w:tc>
          <w:tcPr>
            <w:tcW w:w="2340" w:type="dxa"/>
            <w:noWrap w:val="0"/>
            <w:vAlign w:val="center"/>
          </w:tcPr>
          <w:p>
            <w:pPr>
              <w:pStyle w:val="18"/>
              <w:spacing w:line="320" w:lineRule="exact"/>
              <w:ind w:left="38"/>
              <w:jc w:val="center"/>
              <w:rPr>
                <w:rFonts w:hint="eastAsia"/>
                <w:color w:val="auto"/>
                <w:highlight w:val="none"/>
                <w:lang w:val="zh-CN"/>
              </w:rPr>
            </w:pPr>
            <w:r>
              <w:rPr>
                <w:rFonts w:hint="eastAsia"/>
                <w:color w:val="auto"/>
                <w:highlight w:val="none"/>
                <w:lang w:val="zh-CN"/>
              </w:rPr>
              <w:t>履约保证金</w:t>
            </w:r>
          </w:p>
        </w:tc>
        <w:tc>
          <w:tcPr>
            <w:tcW w:w="6559" w:type="dxa"/>
            <w:noWrap w:val="0"/>
            <w:vAlign w:val="center"/>
          </w:tcPr>
          <w:p>
            <w:pPr>
              <w:pStyle w:val="18"/>
              <w:spacing w:line="320" w:lineRule="exact"/>
              <w:ind w:firstLine="245" w:firstLineChars="100"/>
              <w:jc w:val="both"/>
              <w:rPr>
                <w:rFonts w:hint="eastAsia"/>
                <w:color w:val="auto"/>
                <w:highlight w:val="none"/>
                <w:lang w:val="zh-CN"/>
              </w:rPr>
            </w:pPr>
            <w:r>
              <w:rPr>
                <w:rFonts w:hint="eastAsia"/>
                <w:color w:val="auto"/>
                <w:highlight w:val="none"/>
                <w:lang w:val="zh-CN"/>
              </w:rPr>
              <w:t>履约保证金：</w:t>
            </w:r>
            <w:r>
              <w:rPr>
                <w:rFonts w:hint="eastAsia"/>
                <w:color w:val="auto"/>
                <w:highlight w:val="none"/>
                <w:lang w:val="en-US" w:eastAsia="zh-CN"/>
              </w:rPr>
              <w:t>无</w:t>
            </w:r>
            <w:r>
              <w:rPr>
                <w:rFonts w:hint="eastAsia"/>
                <w:color w:val="auto"/>
                <w:highlight w:val="none"/>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00" w:hRule="atLeast"/>
          <w:jc w:val="center"/>
        </w:trPr>
        <w:tc>
          <w:tcPr>
            <w:tcW w:w="846" w:type="dxa"/>
            <w:noWrap w:val="0"/>
            <w:vAlign w:val="center"/>
          </w:tcPr>
          <w:p>
            <w:pPr>
              <w:pStyle w:val="18"/>
              <w:spacing w:line="320" w:lineRule="exact"/>
              <w:ind w:right="230"/>
              <w:jc w:val="center"/>
              <w:rPr>
                <w:rFonts w:hint="default" w:eastAsia="宋体"/>
                <w:color w:val="auto"/>
                <w:highlight w:val="none"/>
                <w:lang w:val="en-US" w:eastAsia="zh-CN"/>
              </w:rPr>
            </w:pPr>
            <w:r>
              <w:rPr>
                <w:rFonts w:hint="eastAsia" w:eastAsia="宋体"/>
                <w:color w:val="auto"/>
                <w:highlight w:val="none"/>
                <w:lang w:val="en-US" w:eastAsia="zh-CN"/>
              </w:rPr>
              <w:t>10</w:t>
            </w:r>
          </w:p>
        </w:tc>
        <w:tc>
          <w:tcPr>
            <w:tcW w:w="2340" w:type="dxa"/>
            <w:noWrap w:val="0"/>
            <w:vAlign w:val="center"/>
          </w:tcPr>
          <w:p>
            <w:pPr>
              <w:pStyle w:val="18"/>
              <w:spacing w:line="320" w:lineRule="exact"/>
              <w:ind w:left="38"/>
              <w:jc w:val="center"/>
              <w:rPr>
                <w:rFonts w:hint="eastAsia"/>
                <w:color w:val="auto"/>
                <w:highlight w:val="none"/>
                <w:lang w:val="zh-CN"/>
              </w:rPr>
            </w:pPr>
            <w:r>
              <w:rPr>
                <w:rFonts w:hint="eastAsia"/>
                <w:bCs/>
                <w:color w:val="auto"/>
                <w:highlight w:val="none"/>
              </w:rPr>
              <w:t>谈判</w:t>
            </w:r>
            <w:r>
              <w:rPr>
                <w:rFonts w:hint="eastAsia"/>
                <w:color w:val="auto"/>
                <w:highlight w:val="none"/>
                <w:lang w:val="zh-CN"/>
              </w:rPr>
              <w:t>文件咨询</w:t>
            </w:r>
          </w:p>
        </w:tc>
        <w:tc>
          <w:tcPr>
            <w:tcW w:w="6559" w:type="dxa"/>
            <w:noWrap w:val="0"/>
            <w:vAlign w:val="center"/>
          </w:tcPr>
          <w:p>
            <w:pPr>
              <w:pStyle w:val="18"/>
              <w:spacing w:line="320" w:lineRule="exact"/>
              <w:ind w:firstLine="245" w:firstLineChars="100"/>
              <w:jc w:val="both"/>
              <w:rPr>
                <w:rFonts w:hint="eastAsia"/>
                <w:color w:val="auto"/>
                <w:highlight w:val="none"/>
                <w:lang w:val="zh-CN"/>
              </w:rPr>
            </w:pPr>
            <w:r>
              <w:rPr>
                <w:rFonts w:hint="eastAsia"/>
                <w:color w:val="auto"/>
                <w:highlight w:val="none"/>
                <w:lang w:val="zh-CN"/>
              </w:rPr>
              <w:t>联系人：吴老师</w:t>
            </w:r>
            <w:r>
              <w:rPr>
                <w:rFonts w:hint="eastAsia"/>
                <w:color w:val="auto"/>
                <w:highlight w:val="none"/>
              </w:rPr>
              <w:t xml:space="preserve"> </w:t>
            </w:r>
            <w:r>
              <w:rPr>
                <w:rFonts w:hint="eastAsia"/>
                <w:color w:val="auto"/>
                <w:highlight w:val="none"/>
                <w:lang w:val="zh-CN"/>
              </w:rPr>
              <w:t xml:space="preserve"> 联系电话：</w:t>
            </w:r>
            <w:r>
              <w:rPr>
                <w:rFonts w:hint="eastAsia" w:cs="宋体"/>
                <w:sz w:val="24"/>
                <w:lang w:eastAsia="zh-CN"/>
              </w:rPr>
              <w:t xml:space="preserve">18383142010  </w:t>
            </w:r>
            <w:r>
              <w:rPr>
                <w:rFonts w:hint="eastAsia" w:hAnsi="宋体" w:cs="宋体"/>
                <w:color w:val="auto"/>
                <w:sz w:val="24"/>
                <w:highlight w:val="none"/>
              </w:rPr>
              <w:t xml:space="preserve">   </w:t>
            </w:r>
            <w:r>
              <w:rPr>
                <w:rFonts w:hint="eastAsia"/>
                <w:color w:val="auto"/>
                <w:highlight w:val="none"/>
                <w:lang w:val="zh-CN"/>
              </w:rPr>
              <w:t xml:space="preserve">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jc w:val="center"/>
        </w:trPr>
        <w:tc>
          <w:tcPr>
            <w:tcW w:w="846" w:type="dxa"/>
            <w:noWrap w:val="0"/>
            <w:vAlign w:val="center"/>
          </w:tcPr>
          <w:p>
            <w:pPr>
              <w:pStyle w:val="18"/>
              <w:spacing w:line="320" w:lineRule="exact"/>
              <w:ind w:right="230"/>
              <w:jc w:val="center"/>
              <w:rPr>
                <w:rFonts w:hint="default" w:eastAsia="宋体"/>
                <w:color w:val="auto"/>
                <w:highlight w:val="none"/>
                <w:lang w:val="en-US" w:eastAsia="zh-CN"/>
              </w:rPr>
            </w:pPr>
            <w:r>
              <w:rPr>
                <w:rFonts w:hint="eastAsia" w:eastAsia="宋体"/>
                <w:color w:val="auto"/>
                <w:highlight w:val="none"/>
                <w:lang w:val="en-US" w:eastAsia="zh-CN"/>
              </w:rPr>
              <w:t>11</w:t>
            </w:r>
          </w:p>
        </w:tc>
        <w:tc>
          <w:tcPr>
            <w:tcW w:w="2340" w:type="dxa"/>
            <w:noWrap w:val="0"/>
            <w:vAlign w:val="center"/>
          </w:tcPr>
          <w:p>
            <w:pPr>
              <w:pStyle w:val="18"/>
              <w:spacing w:line="320" w:lineRule="exact"/>
              <w:ind w:left="38"/>
              <w:jc w:val="center"/>
              <w:rPr>
                <w:rFonts w:hint="eastAsia"/>
                <w:color w:val="auto"/>
                <w:highlight w:val="none"/>
                <w:lang w:val="zh-CN"/>
              </w:rPr>
            </w:pPr>
            <w:r>
              <w:rPr>
                <w:rFonts w:hint="eastAsia"/>
                <w:color w:val="auto"/>
                <w:highlight w:val="none"/>
                <w:lang w:val="zh-CN"/>
              </w:rPr>
              <w:t>谈判过程、结果工作咨询</w:t>
            </w:r>
          </w:p>
        </w:tc>
        <w:tc>
          <w:tcPr>
            <w:tcW w:w="6559" w:type="dxa"/>
            <w:noWrap w:val="0"/>
            <w:vAlign w:val="center"/>
          </w:tcPr>
          <w:p>
            <w:pPr>
              <w:pStyle w:val="18"/>
              <w:spacing w:line="320" w:lineRule="exact"/>
              <w:ind w:firstLine="245" w:firstLineChars="100"/>
              <w:jc w:val="both"/>
              <w:rPr>
                <w:rFonts w:hint="eastAsia"/>
                <w:color w:val="auto"/>
                <w:highlight w:val="none"/>
                <w:lang w:val="zh-CN"/>
              </w:rPr>
            </w:pPr>
            <w:r>
              <w:rPr>
                <w:rFonts w:hint="eastAsia"/>
                <w:color w:val="auto"/>
                <w:highlight w:val="none"/>
                <w:lang w:val="zh-CN"/>
              </w:rPr>
              <w:t>联系人：吴老师  联系电话：</w:t>
            </w:r>
            <w:r>
              <w:rPr>
                <w:rFonts w:hint="eastAsia" w:cs="宋体"/>
                <w:sz w:val="24"/>
                <w:lang w:eastAsia="zh-CN"/>
              </w:rPr>
              <w:t xml:space="preserve">18383142010  </w:t>
            </w:r>
            <w:r>
              <w:rPr>
                <w:rFonts w:hint="eastAsia" w:hAnsi="宋体" w:cs="宋体"/>
                <w:color w:val="auto"/>
                <w:sz w:val="24"/>
                <w:highlight w:val="none"/>
              </w:rPr>
              <w:t xml:space="preserve">   </w:t>
            </w:r>
            <w:r>
              <w:rPr>
                <w:rFonts w:hint="eastAsia"/>
                <w:color w:val="auto"/>
                <w:highlight w:val="none"/>
                <w:lang w:val="zh-CN"/>
              </w:rPr>
              <w:t xml:space="preserve">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785" w:hRule="atLeast"/>
          <w:jc w:val="center"/>
        </w:trPr>
        <w:tc>
          <w:tcPr>
            <w:tcW w:w="846" w:type="dxa"/>
            <w:noWrap w:val="0"/>
            <w:vAlign w:val="center"/>
          </w:tcPr>
          <w:p>
            <w:pPr>
              <w:pStyle w:val="18"/>
              <w:spacing w:line="320" w:lineRule="exact"/>
              <w:ind w:right="230"/>
              <w:jc w:val="center"/>
              <w:rPr>
                <w:rFonts w:hint="default" w:eastAsia="宋体"/>
                <w:color w:val="auto"/>
                <w:highlight w:val="none"/>
                <w:lang w:val="en-US" w:eastAsia="zh-CN"/>
              </w:rPr>
            </w:pPr>
            <w:r>
              <w:rPr>
                <w:rFonts w:hint="eastAsia" w:eastAsia="宋体"/>
                <w:color w:val="auto"/>
                <w:highlight w:val="none"/>
                <w:lang w:val="en-US" w:eastAsia="zh-CN"/>
              </w:rPr>
              <w:t>12</w:t>
            </w:r>
          </w:p>
        </w:tc>
        <w:tc>
          <w:tcPr>
            <w:tcW w:w="2340" w:type="dxa"/>
            <w:noWrap w:val="0"/>
            <w:vAlign w:val="center"/>
          </w:tcPr>
          <w:p>
            <w:pPr>
              <w:pStyle w:val="18"/>
              <w:spacing w:line="320" w:lineRule="exact"/>
              <w:ind w:left="38"/>
              <w:jc w:val="center"/>
              <w:rPr>
                <w:rFonts w:hint="eastAsia"/>
                <w:color w:val="auto"/>
                <w:highlight w:val="none"/>
                <w:lang w:val="zh-CN"/>
              </w:rPr>
            </w:pPr>
            <w:r>
              <w:rPr>
                <w:rFonts w:hint="eastAsia"/>
                <w:color w:val="auto"/>
                <w:highlight w:val="none"/>
                <w:lang w:val="zh-CN"/>
              </w:rPr>
              <w:t>成交通知书领取</w:t>
            </w:r>
          </w:p>
        </w:tc>
        <w:tc>
          <w:tcPr>
            <w:tcW w:w="6559" w:type="dxa"/>
            <w:noWrap w:val="0"/>
            <w:vAlign w:val="center"/>
          </w:tcPr>
          <w:p>
            <w:pPr>
              <w:pStyle w:val="18"/>
              <w:spacing w:line="320" w:lineRule="exact"/>
              <w:rPr>
                <w:rFonts w:hint="eastAsia"/>
                <w:color w:val="auto"/>
                <w:highlight w:val="none"/>
                <w:lang w:val="zh-CN"/>
              </w:rPr>
            </w:pPr>
            <w:r>
              <w:rPr>
                <w:rFonts w:hint="eastAsia"/>
                <w:color w:val="auto"/>
                <w:highlight w:val="none"/>
                <w:lang w:val="zh-CN"/>
              </w:rPr>
              <w:t>采购结果公告在江安县中医医院</w:t>
            </w:r>
            <w:r>
              <w:rPr>
                <w:rFonts w:hint="eastAsia"/>
                <w:color w:val="auto"/>
                <w:highlight w:val="none"/>
                <w:lang w:val="en-US" w:eastAsia="zh-CN"/>
              </w:rPr>
              <w:t>官方网站</w:t>
            </w:r>
            <w:r>
              <w:rPr>
                <w:rFonts w:hint="eastAsia"/>
                <w:color w:val="auto"/>
                <w:highlight w:val="none"/>
                <w:lang w:val="zh-CN"/>
              </w:rPr>
              <w:t>上发布后，请成交供应商凭有效身份证明证件到江安县中医医院领取成交通知书。</w:t>
            </w:r>
          </w:p>
          <w:p>
            <w:pPr>
              <w:pStyle w:val="18"/>
              <w:spacing w:line="320" w:lineRule="exact"/>
              <w:ind w:firstLine="245" w:firstLineChars="100"/>
              <w:jc w:val="both"/>
              <w:rPr>
                <w:rFonts w:hint="eastAsia"/>
                <w:color w:val="auto"/>
                <w:highlight w:val="none"/>
                <w:lang w:val="zh-CN"/>
              </w:rPr>
            </w:pPr>
            <w:r>
              <w:rPr>
                <w:rFonts w:hint="eastAsia"/>
                <w:color w:val="auto"/>
                <w:highlight w:val="none"/>
                <w:lang w:val="zh-CN"/>
              </w:rPr>
              <w:t>联系电话：</w:t>
            </w:r>
            <w:r>
              <w:rPr>
                <w:rFonts w:hint="eastAsia" w:cs="宋体"/>
                <w:sz w:val="24"/>
                <w:lang w:eastAsia="zh-CN"/>
              </w:rPr>
              <w:t xml:space="preserve">18383142010  </w:t>
            </w:r>
            <w:r>
              <w:rPr>
                <w:rFonts w:hint="eastAsia" w:hAnsi="宋体" w:cs="宋体"/>
                <w:color w:val="auto"/>
                <w:sz w:val="24"/>
                <w:highlight w:val="none"/>
              </w:rPr>
              <w:t xml:space="preserve">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jc w:val="center"/>
        </w:trPr>
        <w:tc>
          <w:tcPr>
            <w:tcW w:w="846" w:type="dxa"/>
            <w:noWrap w:val="0"/>
            <w:vAlign w:val="center"/>
          </w:tcPr>
          <w:p>
            <w:pPr>
              <w:pStyle w:val="18"/>
              <w:spacing w:line="320" w:lineRule="exact"/>
              <w:ind w:right="230"/>
              <w:jc w:val="center"/>
              <w:rPr>
                <w:rFonts w:hint="eastAsia" w:eastAsia="宋体"/>
                <w:color w:val="auto"/>
                <w:highlight w:val="none"/>
                <w:lang w:val="en-US" w:eastAsia="zh-CN"/>
              </w:rPr>
            </w:pPr>
            <w:r>
              <w:rPr>
                <w:rFonts w:hint="eastAsia"/>
                <w:color w:val="auto"/>
                <w:highlight w:val="none"/>
              </w:rPr>
              <w:t>1</w:t>
            </w:r>
            <w:r>
              <w:rPr>
                <w:rFonts w:hint="eastAsia"/>
                <w:color w:val="auto"/>
                <w:highlight w:val="none"/>
                <w:lang w:val="en-US" w:eastAsia="zh-CN"/>
              </w:rPr>
              <w:t>3</w:t>
            </w:r>
          </w:p>
        </w:tc>
        <w:tc>
          <w:tcPr>
            <w:tcW w:w="2340" w:type="dxa"/>
            <w:noWrap w:val="0"/>
            <w:vAlign w:val="center"/>
          </w:tcPr>
          <w:p>
            <w:pPr>
              <w:pStyle w:val="18"/>
              <w:jc w:val="center"/>
              <w:rPr>
                <w:rFonts w:hint="eastAsia" w:cs="Times New Roman"/>
                <w:color w:val="auto"/>
                <w:kern w:val="2"/>
                <w:highlight w:val="none"/>
              </w:rPr>
            </w:pPr>
          </w:p>
          <w:p>
            <w:pPr>
              <w:pStyle w:val="18"/>
              <w:jc w:val="center"/>
              <w:rPr>
                <w:rFonts w:hint="eastAsia"/>
                <w:color w:val="auto"/>
                <w:highlight w:val="none"/>
                <w:lang w:val="zh-CN"/>
              </w:rPr>
            </w:pPr>
            <w:r>
              <w:rPr>
                <w:rFonts w:hint="eastAsia" w:cs="Times New Roman"/>
                <w:color w:val="auto"/>
                <w:kern w:val="2"/>
                <w:highlight w:val="none"/>
              </w:rPr>
              <w:t>供应商询问</w:t>
            </w:r>
          </w:p>
        </w:tc>
        <w:tc>
          <w:tcPr>
            <w:tcW w:w="6559" w:type="dxa"/>
            <w:noWrap w:val="0"/>
            <w:vAlign w:val="top"/>
          </w:tcPr>
          <w:p>
            <w:pPr>
              <w:rPr>
                <w:rFonts w:hint="eastAsia" w:hAnsi="宋体" w:cs="宋体"/>
                <w:color w:val="auto"/>
                <w:sz w:val="24"/>
                <w:szCs w:val="24"/>
                <w:highlight w:val="none"/>
                <w:lang w:val="zh-CN"/>
              </w:rPr>
            </w:pPr>
            <w:r>
              <w:rPr>
                <w:rFonts w:hint="eastAsia" w:hAnsi="宋体" w:cs="宋体"/>
                <w:color w:val="auto"/>
                <w:sz w:val="24"/>
                <w:szCs w:val="24"/>
                <w:highlight w:val="none"/>
                <w:lang w:val="zh-CN"/>
              </w:rPr>
              <w:t>联 系 人：</w:t>
            </w:r>
            <w:r>
              <w:rPr>
                <w:rFonts w:hint="eastAsia" w:hAnsi="宋体" w:cs="宋体"/>
                <w:sz w:val="24"/>
                <w:lang w:eastAsia="zh-CN"/>
              </w:rPr>
              <w:t>吴老师</w:t>
            </w:r>
            <w:r>
              <w:rPr>
                <w:rFonts w:hint="eastAsia" w:hAnsi="宋体" w:cs="宋体"/>
                <w:color w:val="auto"/>
                <w:sz w:val="24"/>
                <w:highlight w:val="none"/>
              </w:rPr>
              <w:t xml:space="preserve"> </w:t>
            </w:r>
          </w:p>
          <w:p>
            <w:pPr>
              <w:rPr>
                <w:rFonts w:hint="eastAsia"/>
                <w:color w:val="auto"/>
                <w:highlight w:val="none"/>
                <w:lang w:val="zh-CN"/>
              </w:rPr>
            </w:pPr>
            <w:r>
              <w:rPr>
                <w:rFonts w:hint="eastAsia" w:hAnsi="宋体" w:cs="宋体"/>
                <w:color w:val="auto"/>
                <w:sz w:val="24"/>
                <w:szCs w:val="24"/>
                <w:highlight w:val="none"/>
                <w:lang w:val="zh-CN"/>
              </w:rPr>
              <w:t>联系电话：</w:t>
            </w:r>
            <w:r>
              <w:rPr>
                <w:rFonts w:hint="eastAsia" w:hAnsi="宋体" w:cs="宋体"/>
                <w:sz w:val="24"/>
                <w:lang w:eastAsia="zh-CN"/>
              </w:rPr>
              <w:t xml:space="preserve">18383142010  </w:t>
            </w:r>
            <w:r>
              <w:rPr>
                <w:rFonts w:hint="eastAsia" w:hAnsi="宋体" w:cs="宋体"/>
                <w:color w:val="auto"/>
                <w:sz w:val="24"/>
                <w:highlight w:val="none"/>
              </w:rPr>
              <w:t xml:space="preserve">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25" w:hRule="atLeast"/>
          <w:jc w:val="center"/>
        </w:trPr>
        <w:tc>
          <w:tcPr>
            <w:tcW w:w="846" w:type="dxa"/>
            <w:tcBorders>
              <w:top w:val="single" w:color="auto" w:sz="8" w:space="0"/>
              <w:left w:val="single" w:color="auto" w:sz="18" w:space="0"/>
              <w:bottom w:val="single" w:color="auto" w:sz="8" w:space="0"/>
              <w:right w:val="single" w:color="auto" w:sz="8" w:space="0"/>
            </w:tcBorders>
            <w:noWrap w:val="0"/>
            <w:vAlign w:val="center"/>
          </w:tcPr>
          <w:p>
            <w:pPr>
              <w:pStyle w:val="18"/>
              <w:spacing w:line="320" w:lineRule="exact"/>
              <w:ind w:right="230"/>
              <w:jc w:val="center"/>
              <w:rPr>
                <w:rFonts w:hint="default" w:eastAsia="宋体"/>
                <w:color w:val="auto"/>
                <w:highlight w:val="none"/>
                <w:lang w:val="en-US" w:eastAsia="zh-CN"/>
              </w:rPr>
            </w:pPr>
            <w:r>
              <w:rPr>
                <w:rFonts w:hint="eastAsia" w:eastAsia="宋体"/>
                <w:color w:val="auto"/>
                <w:highlight w:val="none"/>
                <w:lang w:val="en-US" w:eastAsia="zh-CN"/>
              </w:rPr>
              <w:t>14</w:t>
            </w:r>
          </w:p>
        </w:tc>
        <w:tc>
          <w:tcPr>
            <w:tcW w:w="2340" w:type="dxa"/>
            <w:tcBorders>
              <w:top w:val="single" w:color="auto" w:sz="8" w:space="0"/>
              <w:left w:val="single" w:color="auto" w:sz="8" w:space="0"/>
              <w:bottom w:val="single" w:color="auto" w:sz="8" w:space="0"/>
              <w:right w:val="single" w:color="auto" w:sz="8" w:space="0"/>
            </w:tcBorders>
            <w:noWrap w:val="0"/>
            <w:vAlign w:val="center"/>
          </w:tcPr>
          <w:p>
            <w:pPr>
              <w:pStyle w:val="18"/>
              <w:spacing w:line="320" w:lineRule="exact"/>
              <w:ind w:left="96"/>
              <w:jc w:val="center"/>
              <w:rPr>
                <w:rFonts w:hint="eastAsia"/>
                <w:color w:val="auto"/>
                <w:highlight w:val="none"/>
                <w:lang w:val="zh-CN"/>
              </w:rPr>
            </w:pPr>
            <w:r>
              <w:rPr>
                <w:rFonts w:hint="eastAsia"/>
                <w:color w:val="auto"/>
                <w:highlight w:val="none"/>
              </w:rPr>
              <w:t>响应文件有效期</w:t>
            </w:r>
          </w:p>
        </w:tc>
        <w:tc>
          <w:tcPr>
            <w:tcW w:w="6559" w:type="dxa"/>
            <w:tcBorders>
              <w:top w:val="single" w:color="auto" w:sz="8" w:space="0"/>
              <w:left w:val="single" w:color="auto" w:sz="8" w:space="0"/>
              <w:bottom w:val="single" w:color="auto" w:sz="8" w:space="0"/>
              <w:right w:val="single" w:color="auto" w:sz="18" w:space="0"/>
            </w:tcBorders>
            <w:noWrap w:val="0"/>
            <w:vAlign w:val="center"/>
          </w:tcPr>
          <w:p>
            <w:pPr>
              <w:pStyle w:val="18"/>
              <w:spacing w:line="320" w:lineRule="exact"/>
              <w:ind w:left="369" w:leftChars="101" w:hanging="21" w:hangingChars="9"/>
              <w:jc w:val="both"/>
              <w:rPr>
                <w:rFonts w:hint="eastAsia"/>
                <w:color w:val="auto"/>
                <w:highlight w:val="none"/>
                <w:lang w:val="zh-CN"/>
              </w:rPr>
            </w:pPr>
            <w:r>
              <w:rPr>
                <w:rFonts w:hint="eastAsia"/>
                <w:color w:val="auto"/>
                <w:highlight w:val="none"/>
                <w:lang w:val="zh-CN"/>
              </w:rPr>
              <w:t>递交谈判响应文件截止之日起</w:t>
            </w:r>
            <w:r>
              <w:rPr>
                <w:rFonts w:hint="eastAsia"/>
                <w:color w:val="auto"/>
                <w:highlight w:val="none"/>
              </w:rPr>
              <w:t>90</w:t>
            </w:r>
            <w:r>
              <w:rPr>
                <w:rFonts w:hint="eastAsia"/>
                <w:color w:val="auto"/>
                <w:highlight w:val="none"/>
                <w:lang w:val="zh-CN"/>
              </w:rPr>
              <w:t>天</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jc w:val="center"/>
        </w:trPr>
        <w:tc>
          <w:tcPr>
            <w:tcW w:w="846" w:type="dxa"/>
            <w:tcBorders>
              <w:top w:val="single" w:color="auto" w:sz="8" w:space="0"/>
              <w:left w:val="single" w:color="auto" w:sz="18" w:space="0"/>
              <w:bottom w:val="single" w:color="auto" w:sz="8" w:space="0"/>
              <w:right w:val="single" w:color="auto" w:sz="8" w:space="0"/>
            </w:tcBorders>
            <w:noWrap w:val="0"/>
            <w:vAlign w:val="center"/>
          </w:tcPr>
          <w:p>
            <w:pPr>
              <w:pStyle w:val="18"/>
              <w:spacing w:line="320" w:lineRule="exact"/>
              <w:ind w:right="230"/>
              <w:jc w:val="center"/>
              <w:rPr>
                <w:rFonts w:hint="default" w:eastAsia="宋体"/>
                <w:color w:val="auto"/>
                <w:highlight w:val="none"/>
                <w:lang w:val="en-US" w:eastAsia="zh-CN"/>
              </w:rPr>
            </w:pPr>
            <w:r>
              <w:rPr>
                <w:rFonts w:hint="eastAsia" w:eastAsia="宋体"/>
                <w:color w:val="auto"/>
                <w:highlight w:val="none"/>
                <w:lang w:val="en-US" w:eastAsia="zh-CN"/>
              </w:rPr>
              <w:t>15</w:t>
            </w:r>
          </w:p>
        </w:tc>
        <w:tc>
          <w:tcPr>
            <w:tcW w:w="2340" w:type="dxa"/>
            <w:tcBorders>
              <w:top w:val="single" w:color="auto" w:sz="8" w:space="0"/>
              <w:left w:val="single" w:color="auto" w:sz="8" w:space="0"/>
              <w:bottom w:val="single" w:color="auto" w:sz="8" w:space="0"/>
              <w:right w:val="single" w:color="auto" w:sz="8" w:space="0"/>
            </w:tcBorders>
            <w:noWrap w:val="0"/>
            <w:vAlign w:val="center"/>
          </w:tcPr>
          <w:p>
            <w:pPr>
              <w:spacing w:line="320" w:lineRule="exact"/>
              <w:jc w:val="center"/>
              <w:rPr>
                <w:rFonts w:hint="eastAsia" w:hAnsi="宋体" w:cs="宋体"/>
                <w:color w:val="auto"/>
                <w:sz w:val="24"/>
                <w:szCs w:val="24"/>
                <w:highlight w:val="none"/>
              </w:rPr>
            </w:pPr>
            <w:r>
              <w:rPr>
                <w:rFonts w:hint="eastAsia" w:hAnsi="宋体" w:cs="宋体"/>
                <w:color w:val="auto"/>
                <w:sz w:val="24"/>
                <w:szCs w:val="24"/>
                <w:highlight w:val="none"/>
              </w:rPr>
              <w:t>签字盖章</w:t>
            </w:r>
          </w:p>
        </w:tc>
        <w:tc>
          <w:tcPr>
            <w:tcW w:w="6559" w:type="dxa"/>
            <w:tcBorders>
              <w:top w:val="single" w:color="auto" w:sz="8" w:space="0"/>
              <w:left w:val="single" w:color="auto" w:sz="8" w:space="0"/>
              <w:bottom w:val="single" w:color="auto" w:sz="8" w:space="0"/>
              <w:right w:val="single" w:color="auto" w:sz="18" w:space="0"/>
            </w:tcBorders>
            <w:noWrap w:val="0"/>
            <w:vAlign w:val="center"/>
          </w:tcPr>
          <w:p>
            <w:pPr>
              <w:spacing w:line="320" w:lineRule="exact"/>
              <w:ind w:left="172" w:leftChars="50"/>
              <w:rPr>
                <w:rFonts w:hint="eastAsia" w:hAnsi="宋体" w:cs="宋体"/>
                <w:color w:val="auto"/>
                <w:sz w:val="24"/>
                <w:szCs w:val="24"/>
                <w:highlight w:val="none"/>
                <w:lang w:val="zh-CN"/>
              </w:rPr>
            </w:pPr>
            <w:r>
              <w:rPr>
                <w:rFonts w:hint="eastAsia" w:hAnsi="宋体" w:cs="宋体"/>
                <w:color w:val="auto"/>
                <w:sz w:val="24"/>
                <w:szCs w:val="24"/>
                <w:highlight w:val="none"/>
              </w:rPr>
              <w:t>谈判供应商必须按照竞争性谈判采购文件的规定和要求签字、盖章(法人代表的签字可用具有法定效力的签字章)。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32" w:hRule="atLeast"/>
          <w:jc w:val="center"/>
        </w:trPr>
        <w:tc>
          <w:tcPr>
            <w:tcW w:w="846" w:type="dxa"/>
            <w:tcBorders>
              <w:top w:val="single" w:color="auto" w:sz="8" w:space="0"/>
              <w:left w:val="single" w:color="auto" w:sz="18" w:space="0"/>
              <w:bottom w:val="single" w:color="auto" w:sz="8" w:space="0"/>
              <w:right w:val="single" w:color="auto" w:sz="8" w:space="0"/>
            </w:tcBorders>
            <w:noWrap w:val="0"/>
            <w:vAlign w:val="center"/>
          </w:tcPr>
          <w:p>
            <w:pPr>
              <w:pStyle w:val="18"/>
              <w:spacing w:after="72" w:line="320" w:lineRule="exact"/>
              <w:ind w:right="264" w:firstLine="245" w:firstLineChars="100"/>
              <w:jc w:val="both"/>
              <w:rPr>
                <w:rFonts w:hint="default" w:eastAsia="宋体"/>
                <w:color w:val="auto"/>
                <w:highlight w:val="none"/>
                <w:lang w:val="en-US" w:eastAsia="zh-CN"/>
              </w:rPr>
            </w:pPr>
            <w:r>
              <w:rPr>
                <w:rFonts w:hint="eastAsia" w:eastAsia="宋体"/>
                <w:color w:val="auto"/>
                <w:highlight w:val="none"/>
                <w:lang w:val="en-US" w:eastAsia="zh-CN"/>
              </w:rPr>
              <w:t>16</w:t>
            </w:r>
          </w:p>
        </w:tc>
        <w:tc>
          <w:tcPr>
            <w:tcW w:w="2340" w:type="dxa"/>
            <w:tcBorders>
              <w:top w:val="single" w:color="auto" w:sz="8" w:space="0"/>
              <w:left w:val="single" w:color="auto" w:sz="8" w:space="0"/>
              <w:bottom w:val="single" w:color="auto" w:sz="8" w:space="0"/>
              <w:right w:val="single" w:color="auto" w:sz="8" w:space="0"/>
            </w:tcBorders>
            <w:noWrap w:val="0"/>
            <w:vAlign w:val="center"/>
          </w:tcPr>
          <w:p>
            <w:pPr>
              <w:spacing w:line="320" w:lineRule="exact"/>
              <w:ind w:left="172" w:leftChars="50" w:right="172" w:rightChars="50"/>
              <w:jc w:val="center"/>
              <w:rPr>
                <w:rFonts w:hint="eastAsia" w:hAnsi="宋体" w:cs="宋体"/>
                <w:color w:val="auto"/>
                <w:sz w:val="24"/>
                <w:szCs w:val="24"/>
                <w:highlight w:val="none"/>
              </w:rPr>
            </w:pPr>
            <w:r>
              <w:rPr>
                <w:rFonts w:hint="eastAsia" w:hAnsi="宋体" w:cs="宋体"/>
                <w:color w:val="auto"/>
                <w:sz w:val="24"/>
                <w:szCs w:val="24"/>
                <w:highlight w:val="none"/>
              </w:rPr>
              <w:t>是否组织潜在供应商踏勘项目现场</w:t>
            </w:r>
          </w:p>
        </w:tc>
        <w:tc>
          <w:tcPr>
            <w:tcW w:w="6559" w:type="dxa"/>
            <w:tcBorders>
              <w:top w:val="single" w:color="auto" w:sz="8" w:space="0"/>
              <w:left w:val="single" w:color="auto" w:sz="8" w:space="0"/>
              <w:bottom w:val="single" w:color="auto" w:sz="8" w:space="0"/>
              <w:right w:val="single" w:color="auto" w:sz="18" w:space="0"/>
            </w:tcBorders>
            <w:noWrap w:val="0"/>
            <w:vAlign w:val="center"/>
          </w:tcPr>
          <w:p>
            <w:pPr>
              <w:spacing w:line="320" w:lineRule="exact"/>
              <w:ind w:right="172" w:rightChars="50" w:firstLine="245" w:firstLineChars="100"/>
              <w:jc w:val="left"/>
              <w:rPr>
                <w:rFonts w:hint="eastAsia" w:hAnsi="宋体" w:cs="宋体"/>
                <w:color w:val="auto"/>
                <w:sz w:val="24"/>
                <w:szCs w:val="24"/>
                <w:highlight w:val="none"/>
              </w:rPr>
            </w:pPr>
            <w:r>
              <w:rPr>
                <w:rFonts w:hint="eastAsia" w:hAnsi="宋体" w:cs="宋体"/>
                <w:color w:val="auto"/>
                <w:sz w:val="24"/>
                <w:szCs w:val="24"/>
                <w:highlight w:val="none"/>
              </w:rPr>
              <w:t>本次采购不组织踏勘项目现场。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10" w:hRule="atLeast"/>
          <w:jc w:val="center"/>
        </w:trPr>
        <w:tc>
          <w:tcPr>
            <w:tcW w:w="846" w:type="dxa"/>
            <w:tcBorders>
              <w:top w:val="single" w:color="auto" w:sz="8" w:space="0"/>
              <w:left w:val="single" w:color="auto" w:sz="18" w:space="0"/>
              <w:bottom w:val="single" w:color="auto" w:sz="8" w:space="0"/>
              <w:right w:val="single" w:color="auto" w:sz="8" w:space="0"/>
            </w:tcBorders>
            <w:noWrap w:val="0"/>
            <w:vAlign w:val="center"/>
          </w:tcPr>
          <w:p>
            <w:pPr>
              <w:pStyle w:val="18"/>
              <w:spacing w:line="320" w:lineRule="exact"/>
              <w:ind w:right="230"/>
              <w:jc w:val="center"/>
              <w:rPr>
                <w:rFonts w:hint="default" w:eastAsia="宋体"/>
                <w:color w:val="auto"/>
                <w:highlight w:val="none"/>
                <w:lang w:val="en-US" w:eastAsia="zh-CN"/>
              </w:rPr>
            </w:pPr>
            <w:r>
              <w:rPr>
                <w:rFonts w:hint="eastAsia" w:eastAsia="宋体"/>
                <w:color w:val="auto"/>
                <w:highlight w:val="none"/>
                <w:lang w:val="en-US" w:eastAsia="zh-CN"/>
              </w:rPr>
              <w:t>17</w:t>
            </w:r>
          </w:p>
        </w:tc>
        <w:tc>
          <w:tcPr>
            <w:tcW w:w="2340" w:type="dxa"/>
            <w:tcBorders>
              <w:top w:val="single" w:color="auto" w:sz="8" w:space="0"/>
              <w:left w:val="single" w:color="auto" w:sz="8" w:space="0"/>
              <w:bottom w:val="single" w:color="auto" w:sz="8" w:space="0"/>
              <w:right w:val="single" w:color="auto" w:sz="8" w:space="0"/>
            </w:tcBorders>
            <w:noWrap w:val="0"/>
            <w:vAlign w:val="center"/>
          </w:tcPr>
          <w:p>
            <w:pPr>
              <w:pStyle w:val="18"/>
              <w:ind w:firstLine="570" w:firstLineChars="200"/>
              <w:rPr>
                <w:rFonts w:hint="eastAsia"/>
                <w:color w:val="auto"/>
                <w:highlight w:val="none"/>
              </w:rPr>
            </w:pPr>
            <w:r>
              <w:rPr>
                <w:rFonts w:hint="eastAsia"/>
                <w:b/>
                <w:bCs/>
                <w:color w:val="auto"/>
                <w:kern w:val="2"/>
                <w:sz w:val="28"/>
                <w:szCs w:val="28"/>
                <w:highlight w:val="none"/>
                <w:lang w:val="zh-CN"/>
              </w:rPr>
              <w:t>特别提醒</w:t>
            </w:r>
          </w:p>
        </w:tc>
        <w:tc>
          <w:tcPr>
            <w:tcW w:w="6559" w:type="dxa"/>
            <w:tcBorders>
              <w:top w:val="single" w:color="auto" w:sz="8" w:space="0"/>
              <w:left w:val="single" w:color="auto" w:sz="8" w:space="0"/>
              <w:bottom w:val="single" w:color="auto" w:sz="8" w:space="0"/>
              <w:right w:val="single" w:color="auto" w:sz="18" w:space="0"/>
            </w:tcBorders>
            <w:noWrap w:val="0"/>
            <w:vAlign w:val="center"/>
          </w:tcPr>
          <w:p>
            <w:pPr>
              <w:spacing w:line="400" w:lineRule="exact"/>
              <w:rPr>
                <w:rFonts w:hint="eastAsia"/>
                <w:color w:val="auto"/>
                <w:highlight w:val="none"/>
                <w:lang w:val="zh-CN"/>
              </w:rPr>
            </w:pPr>
            <w:r>
              <w:rPr>
                <w:rFonts w:hint="eastAsia" w:hAnsi="宋体" w:cs="宋体"/>
                <w:color w:val="auto"/>
                <w:sz w:val="24"/>
                <w:highlight w:val="none"/>
              </w:rPr>
              <w:t xml:space="preserve">  供应商必须按照谈判文件据实填写，不得虚假应答，凡经查实，将取消其成交资格</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27" w:hRule="atLeast"/>
          <w:jc w:val="center"/>
        </w:trPr>
        <w:tc>
          <w:tcPr>
            <w:tcW w:w="846" w:type="dxa"/>
            <w:tcBorders>
              <w:top w:val="single" w:color="auto" w:sz="8" w:space="0"/>
              <w:left w:val="single" w:color="auto" w:sz="18" w:space="0"/>
              <w:bottom w:val="single" w:color="auto" w:sz="8" w:space="0"/>
              <w:right w:val="single" w:color="auto" w:sz="8" w:space="0"/>
            </w:tcBorders>
            <w:noWrap w:val="0"/>
            <w:vAlign w:val="center"/>
          </w:tcPr>
          <w:p>
            <w:pPr>
              <w:pStyle w:val="18"/>
              <w:spacing w:line="320" w:lineRule="exact"/>
              <w:ind w:right="230"/>
              <w:jc w:val="center"/>
              <w:rPr>
                <w:rFonts w:hint="default" w:eastAsia="宋体"/>
                <w:color w:val="auto"/>
                <w:highlight w:val="none"/>
                <w:lang w:val="en-US" w:eastAsia="zh-CN"/>
              </w:rPr>
            </w:pPr>
            <w:r>
              <w:rPr>
                <w:rFonts w:hint="eastAsia" w:eastAsia="宋体"/>
                <w:color w:val="auto"/>
                <w:highlight w:val="none"/>
                <w:lang w:val="en-US" w:eastAsia="zh-CN"/>
              </w:rPr>
              <w:t>18</w:t>
            </w:r>
          </w:p>
        </w:tc>
        <w:tc>
          <w:tcPr>
            <w:tcW w:w="2340" w:type="dxa"/>
            <w:tcBorders>
              <w:top w:val="single" w:color="auto" w:sz="8" w:space="0"/>
              <w:left w:val="single" w:color="auto" w:sz="8" w:space="0"/>
              <w:bottom w:val="single" w:color="auto" w:sz="8" w:space="0"/>
              <w:right w:val="single" w:color="auto" w:sz="8" w:space="0"/>
            </w:tcBorders>
            <w:noWrap w:val="0"/>
            <w:vAlign w:val="center"/>
          </w:tcPr>
          <w:p>
            <w:pPr>
              <w:pStyle w:val="18"/>
              <w:spacing w:line="320" w:lineRule="exact"/>
              <w:ind w:left="96"/>
              <w:jc w:val="center"/>
              <w:rPr>
                <w:rFonts w:hint="eastAsia"/>
                <w:b/>
                <w:bCs/>
                <w:color w:val="auto"/>
                <w:kern w:val="2"/>
                <w:highlight w:val="none"/>
                <w:lang w:val="zh-CN"/>
              </w:rPr>
            </w:pPr>
            <w:r>
              <w:rPr>
                <w:rFonts w:hint="eastAsia"/>
                <w:color w:val="auto"/>
                <w:highlight w:val="none"/>
                <w:lang w:val="zh-CN"/>
              </w:rPr>
              <w:t>备注</w:t>
            </w:r>
          </w:p>
        </w:tc>
        <w:tc>
          <w:tcPr>
            <w:tcW w:w="6559" w:type="dxa"/>
            <w:tcBorders>
              <w:top w:val="single" w:color="auto" w:sz="8" w:space="0"/>
              <w:left w:val="single" w:color="auto" w:sz="8" w:space="0"/>
              <w:bottom w:val="single" w:color="auto" w:sz="8" w:space="0"/>
              <w:right w:val="single" w:color="auto" w:sz="18" w:space="0"/>
            </w:tcBorders>
            <w:noWrap w:val="0"/>
            <w:vAlign w:val="center"/>
          </w:tcPr>
          <w:p>
            <w:pPr>
              <w:pStyle w:val="18"/>
              <w:spacing w:line="320" w:lineRule="exact"/>
              <w:ind w:firstLine="245" w:firstLineChars="100"/>
              <w:jc w:val="both"/>
              <w:rPr>
                <w:rFonts w:hint="eastAsia"/>
                <w:color w:val="auto"/>
                <w:highlight w:val="none"/>
              </w:rPr>
            </w:pPr>
            <w:r>
              <w:rPr>
                <w:rFonts w:hint="eastAsia"/>
                <w:color w:val="auto"/>
                <w:highlight w:val="none"/>
                <w:lang w:val="zh-CN"/>
              </w:rPr>
              <w:t>若谈判文件中其他内容与须知前附表内容不一致的，以须知前附表为准。</w:t>
            </w:r>
          </w:p>
        </w:tc>
      </w:tr>
    </w:tbl>
    <w:p>
      <w:pPr>
        <w:pStyle w:val="4"/>
        <w:keepNext w:val="0"/>
        <w:keepLines w:val="0"/>
        <w:spacing w:before="0" w:after="0" w:line="400" w:lineRule="exact"/>
        <w:jc w:val="center"/>
        <w:rPr>
          <w:rFonts w:hint="eastAsia" w:ascii="宋体" w:hAnsi="宋体" w:eastAsia="宋体" w:cs="宋体"/>
          <w:bCs w:val="0"/>
          <w:color w:val="auto"/>
          <w:highlight w:val="none"/>
        </w:rPr>
      </w:pPr>
      <w:r>
        <w:rPr>
          <w:rFonts w:hint="eastAsia" w:ascii="宋体" w:hAnsi="宋体" w:eastAsia="宋体" w:cs="宋体"/>
          <w:bCs w:val="0"/>
          <w:color w:val="auto"/>
          <w:highlight w:val="none"/>
        </w:rPr>
        <w:br w:type="page"/>
      </w:r>
      <w:bookmarkStart w:id="36" w:name="_Toc4616429"/>
      <w:r>
        <w:rPr>
          <w:rFonts w:hint="eastAsia" w:ascii="宋体" w:hAnsi="宋体" w:eastAsia="宋体" w:cs="宋体"/>
          <w:bCs w:val="0"/>
          <w:color w:val="auto"/>
          <w:highlight w:val="none"/>
        </w:rPr>
        <w:t>二、总  则</w:t>
      </w:r>
      <w:bookmarkEnd w:id="36"/>
    </w:p>
    <w:p>
      <w:pPr>
        <w:rPr>
          <w:rFonts w:hint="eastAsia" w:hAnsi="宋体" w:cs="宋体"/>
          <w:color w:val="auto"/>
          <w:highlight w:val="none"/>
        </w:rPr>
      </w:pPr>
      <w:bookmarkStart w:id="37" w:name="_Toc217446034"/>
      <w:bookmarkStart w:id="38" w:name="_Toc183682342"/>
      <w:bookmarkStart w:id="39" w:name="_Toc183582205"/>
    </w:p>
    <w:bookmarkEnd w:id="37"/>
    <w:bookmarkEnd w:id="38"/>
    <w:bookmarkEnd w:id="39"/>
    <w:p>
      <w:pPr>
        <w:pStyle w:val="5"/>
        <w:keepNext w:val="0"/>
        <w:keepLines w:val="0"/>
        <w:spacing w:before="0" w:after="0" w:line="400" w:lineRule="exact"/>
        <w:ind w:firstLine="490" w:firstLineChars="200"/>
        <w:rPr>
          <w:rFonts w:hint="eastAsia" w:ascii="宋体" w:hAnsi="宋体" w:cs="宋体"/>
          <w:color w:val="auto"/>
          <w:sz w:val="24"/>
          <w:highlight w:val="none"/>
        </w:rPr>
      </w:pPr>
      <w:bookmarkStart w:id="40" w:name="_Toc4616430"/>
      <w:bookmarkStart w:id="41" w:name="_Toc77400782"/>
      <w:bookmarkStart w:id="42" w:name="_Toc183582231"/>
      <w:bookmarkStart w:id="43" w:name="_Toc89075878"/>
      <w:bookmarkStart w:id="44" w:name="_Toc217446056"/>
      <w:bookmarkStart w:id="45" w:name="_Toc183682368"/>
      <w:r>
        <w:rPr>
          <w:rFonts w:hint="eastAsia" w:ascii="宋体" w:hAnsi="宋体" w:cs="宋体"/>
          <w:color w:val="auto"/>
          <w:sz w:val="24"/>
          <w:highlight w:val="none"/>
        </w:rPr>
        <w:t>1.</w:t>
      </w:r>
      <w:r>
        <w:rPr>
          <w:rFonts w:hint="eastAsia" w:ascii="宋体" w:hAnsi="宋体" w:cs="宋体"/>
          <w:color w:val="auto"/>
          <w:sz w:val="24"/>
          <w:szCs w:val="24"/>
          <w:highlight w:val="none"/>
        </w:rPr>
        <w:t>适用范围</w:t>
      </w:r>
      <w:bookmarkEnd w:id="40"/>
    </w:p>
    <w:p>
      <w:pPr>
        <w:tabs>
          <w:tab w:val="left" w:pos="7665"/>
        </w:tabs>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1.1 本谈判文件仅适用于本次谈判所叙述的</w:t>
      </w:r>
      <w:r>
        <w:rPr>
          <w:rFonts w:hint="eastAsia" w:hAnsi="宋体" w:cs="宋体"/>
          <w:color w:val="auto"/>
          <w:sz w:val="24"/>
          <w:highlight w:val="none"/>
          <w:lang w:eastAsia="zh-CN"/>
        </w:rPr>
        <w:t>服务</w:t>
      </w:r>
      <w:r>
        <w:rPr>
          <w:rFonts w:hint="eastAsia" w:hAnsi="宋体" w:cs="宋体"/>
          <w:color w:val="auto"/>
          <w:sz w:val="24"/>
          <w:highlight w:val="none"/>
          <w:lang w:val="en-US" w:eastAsia="zh-CN"/>
        </w:rPr>
        <w:t>/货物</w:t>
      </w:r>
      <w:r>
        <w:rPr>
          <w:rFonts w:hint="eastAsia" w:hAnsi="宋体" w:cs="宋体"/>
          <w:color w:val="auto"/>
          <w:sz w:val="24"/>
          <w:highlight w:val="none"/>
        </w:rPr>
        <w:t>采购。</w:t>
      </w:r>
    </w:p>
    <w:p>
      <w:pPr>
        <w:tabs>
          <w:tab w:val="left" w:pos="7665"/>
        </w:tabs>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1.2 本谈判文件的解释权归采购人所有。</w:t>
      </w:r>
    </w:p>
    <w:p>
      <w:pPr>
        <w:rPr>
          <w:rFonts w:hint="eastAsia" w:hAnsi="宋体" w:cs="宋体"/>
          <w:color w:val="auto"/>
          <w:highlight w:val="none"/>
        </w:rPr>
      </w:pPr>
      <w:bookmarkStart w:id="46" w:name="_Toc217446035"/>
      <w:bookmarkStart w:id="47" w:name="_Toc183682343"/>
      <w:bookmarkStart w:id="48" w:name="_Toc183582206"/>
    </w:p>
    <w:p>
      <w:pPr>
        <w:pStyle w:val="5"/>
        <w:keepNext w:val="0"/>
        <w:keepLines w:val="0"/>
        <w:spacing w:before="0" w:after="0" w:line="400" w:lineRule="exact"/>
        <w:ind w:firstLine="490" w:firstLineChars="200"/>
        <w:rPr>
          <w:rFonts w:hint="eastAsia" w:ascii="宋体" w:hAnsi="宋体" w:cs="宋体"/>
          <w:color w:val="auto"/>
          <w:sz w:val="24"/>
          <w:highlight w:val="none"/>
        </w:rPr>
      </w:pPr>
      <w:bookmarkStart w:id="49" w:name="_Toc4616431"/>
      <w:r>
        <w:rPr>
          <w:rFonts w:hint="eastAsia" w:ascii="宋体" w:hAnsi="宋体" w:cs="宋体"/>
          <w:color w:val="auto"/>
          <w:sz w:val="24"/>
          <w:highlight w:val="none"/>
        </w:rPr>
        <w:t>2.</w:t>
      </w:r>
      <w:bookmarkEnd w:id="46"/>
      <w:bookmarkEnd w:id="47"/>
      <w:bookmarkEnd w:id="48"/>
      <w:r>
        <w:rPr>
          <w:rFonts w:hint="eastAsia" w:ascii="宋体" w:hAnsi="宋体" w:cs="宋体"/>
          <w:color w:val="auto"/>
          <w:sz w:val="24"/>
          <w:highlight w:val="none"/>
        </w:rPr>
        <w:t>采购主体</w:t>
      </w:r>
      <w:bookmarkEnd w:id="49"/>
    </w:p>
    <w:p>
      <w:pPr>
        <w:tabs>
          <w:tab w:val="left" w:pos="7665"/>
        </w:tabs>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2.1本次谈判的采购人是</w:t>
      </w:r>
      <w:r>
        <w:rPr>
          <w:rFonts w:hint="eastAsia" w:hAnsi="宋体" w:cs="宋体"/>
          <w:color w:val="auto"/>
          <w:sz w:val="24"/>
          <w:highlight w:val="none"/>
          <w:u w:val="single"/>
          <w:lang w:val="en-US" w:eastAsia="zh-CN"/>
        </w:rPr>
        <w:t>江安县中医医疗健康集团医院（妇幼保健分院）</w:t>
      </w:r>
      <w:r>
        <w:rPr>
          <w:rFonts w:hint="eastAsia" w:hAnsi="宋体" w:cs="宋体"/>
          <w:color w:val="auto"/>
          <w:sz w:val="24"/>
          <w:highlight w:val="none"/>
        </w:rPr>
        <w:t>。</w:t>
      </w:r>
    </w:p>
    <w:p>
      <w:pPr>
        <w:rPr>
          <w:rFonts w:hint="eastAsia" w:hAnsi="宋体" w:cs="宋体"/>
          <w:color w:val="auto"/>
          <w:highlight w:val="none"/>
        </w:rPr>
      </w:pPr>
    </w:p>
    <w:p>
      <w:pPr>
        <w:pStyle w:val="5"/>
        <w:keepNext w:val="0"/>
        <w:keepLines w:val="0"/>
        <w:spacing w:before="0" w:after="0" w:line="400" w:lineRule="exact"/>
        <w:ind w:firstLine="490" w:firstLineChars="200"/>
        <w:rPr>
          <w:rFonts w:hint="eastAsia" w:ascii="宋体" w:hAnsi="宋体" w:cs="宋体"/>
          <w:color w:val="auto"/>
          <w:sz w:val="24"/>
          <w:highlight w:val="none"/>
        </w:rPr>
      </w:pPr>
      <w:bookmarkStart w:id="50" w:name="_Toc217446036"/>
      <w:bookmarkStart w:id="51" w:name="_Toc183582207"/>
      <w:bookmarkStart w:id="52" w:name="_Toc217390843"/>
      <w:bookmarkStart w:id="53" w:name="_Toc183682344"/>
      <w:bookmarkStart w:id="54" w:name="_Toc4616432"/>
      <w:r>
        <w:rPr>
          <w:rFonts w:hint="eastAsia" w:ascii="宋体" w:hAnsi="宋体" w:cs="宋体"/>
          <w:color w:val="auto"/>
          <w:sz w:val="24"/>
          <w:highlight w:val="none"/>
        </w:rPr>
        <w:t>3.合格</w:t>
      </w:r>
      <w:bookmarkEnd w:id="50"/>
      <w:bookmarkEnd w:id="51"/>
      <w:bookmarkEnd w:id="52"/>
      <w:bookmarkEnd w:id="53"/>
      <w:r>
        <w:rPr>
          <w:rFonts w:hint="eastAsia" w:ascii="宋体" w:hAnsi="宋体" w:cs="宋体"/>
          <w:color w:val="auto"/>
          <w:sz w:val="24"/>
          <w:highlight w:val="none"/>
        </w:rPr>
        <w:t>供应商（实质性要求）</w:t>
      </w:r>
      <w:bookmarkEnd w:id="54"/>
    </w:p>
    <w:p>
      <w:pPr>
        <w:tabs>
          <w:tab w:val="left" w:pos="7665"/>
        </w:tabs>
        <w:spacing w:line="400" w:lineRule="exact"/>
        <w:rPr>
          <w:rFonts w:hint="eastAsia" w:hAnsi="宋体" w:cs="宋体"/>
          <w:color w:val="auto"/>
          <w:sz w:val="24"/>
          <w:highlight w:val="none"/>
        </w:rPr>
      </w:pPr>
      <w:r>
        <w:rPr>
          <w:rFonts w:hint="eastAsia" w:hAnsi="宋体" w:cs="宋体"/>
          <w:b/>
          <w:color w:val="auto"/>
          <w:sz w:val="24"/>
          <w:highlight w:val="none"/>
        </w:rPr>
        <w:t xml:space="preserve">    </w:t>
      </w:r>
      <w:r>
        <w:rPr>
          <w:rFonts w:hint="eastAsia" w:hAnsi="宋体" w:cs="宋体"/>
          <w:color w:val="auto"/>
          <w:sz w:val="24"/>
          <w:highlight w:val="none"/>
        </w:rPr>
        <w:t>合格供应商应具备以下条件：</w:t>
      </w:r>
    </w:p>
    <w:p>
      <w:pPr>
        <w:tabs>
          <w:tab w:val="left" w:pos="7665"/>
        </w:tabs>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3.1 具备法律法规和本采购文件规定的资格条件；</w:t>
      </w:r>
    </w:p>
    <w:p>
      <w:pPr>
        <w:tabs>
          <w:tab w:val="left" w:pos="7665"/>
        </w:tabs>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3.2 不属于禁止参加本项目采购活动的供应商；</w:t>
      </w:r>
    </w:p>
    <w:p>
      <w:pPr>
        <w:tabs>
          <w:tab w:val="left" w:pos="7665"/>
        </w:tabs>
        <w:spacing w:line="400" w:lineRule="exact"/>
        <w:ind w:firstLine="367" w:firstLineChars="150"/>
        <w:rPr>
          <w:rFonts w:hint="eastAsia" w:hAnsi="宋体" w:cs="宋体"/>
          <w:color w:val="auto"/>
          <w:spacing w:val="-4"/>
          <w:sz w:val="24"/>
          <w:highlight w:val="none"/>
        </w:rPr>
      </w:pPr>
      <w:r>
        <w:rPr>
          <w:rFonts w:hint="eastAsia" w:hAnsi="宋体" w:cs="宋体"/>
          <w:color w:val="auto"/>
          <w:sz w:val="24"/>
          <w:highlight w:val="none"/>
        </w:rPr>
        <w:t xml:space="preserve"> 3.3按规定获取了谈判文件，属于实质性参加采购活动的供应商。</w:t>
      </w:r>
    </w:p>
    <w:p>
      <w:pPr>
        <w:rPr>
          <w:rFonts w:hint="eastAsia" w:hAnsi="宋体" w:cs="宋体"/>
          <w:color w:val="auto"/>
          <w:highlight w:val="none"/>
        </w:rPr>
      </w:pPr>
      <w:bookmarkStart w:id="55" w:name="_Toc217446037"/>
      <w:bookmarkStart w:id="56" w:name="_Toc183582208"/>
      <w:bookmarkStart w:id="57" w:name="_Toc183682345"/>
    </w:p>
    <w:p>
      <w:pPr>
        <w:pStyle w:val="5"/>
        <w:keepNext w:val="0"/>
        <w:keepLines w:val="0"/>
        <w:spacing w:before="0" w:after="0" w:line="400" w:lineRule="exact"/>
        <w:ind w:firstLine="490" w:firstLineChars="200"/>
        <w:rPr>
          <w:rFonts w:hint="eastAsia" w:ascii="宋体" w:hAnsi="宋体" w:cs="宋体"/>
          <w:color w:val="auto"/>
          <w:sz w:val="24"/>
          <w:highlight w:val="none"/>
        </w:rPr>
      </w:pPr>
      <w:bookmarkStart w:id="58" w:name="_Toc4616433"/>
      <w:r>
        <w:rPr>
          <w:rFonts w:hint="eastAsia" w:ascii="宋体" w:hAnsi="宋体" w:cs="宋体"/>
          <w:color w:val="auto"/>
          <w:sz w:val="24"/>
          <w:highlight w:val="none"/>
        </w:rPr>
        <w:t>4.谈判费用</w:t>
      </w:r>
      <w:bookmarkEnd w:id="55"/>
      <w:bookmarkEnd w:id="56"/>
      <w:bookmarkEnd w:id="57"/>
      <w:r>
        <w:rPr>
          <w:rFonts w:hint="eastAsia" w:ascii="宋体" w:hAnsi="宋体" w:cs="宋体"/>
          <w:color w:val="auto"/>
          <w:sz w:val="24"/>
          <w:highlight w:val="none"/>
        </w:rPr>
        <w:t>（实质性要求）</w:t>
      </w:r>
      <w:bookmarkEnd w:id="58"/>
    </w:p>
    <w:p>
      <w:pPr>
        <w:tabs>
          <w:tab w:val="left" w:pos="7665"/>
        </w:tabs>
        <w:spacing w:line="400" w:lineRule="exact"/>
        <w:ind w:firstLine="480"/>
        <w:rPr>
          <w:rFonts w:hint="eastAsia" w:hAnsi="宋体" w:cs="宋体"/>
          <w:color w:val="auto"/>
          <w:sz w:val="24"/>
          <w:highlight w:val="none"/>
        </w:rPr>
      </w:pPr>
      <w:r>
        <w:rPr>
          <w:rFonts w:hint="eastAsia" w:hAnsi="宋体" w:cs="宋体"/>
          <w:color w:val="auto"/>
          <w:sz w:val="24"/>
          <w:highlight w:val="none"/>
        </w:rPr>
        <w:t>供应商应自行承担参加谈判活动的全部费用。</w:t>
      </w:r>
    </w:p>
    <w:p>
      <w:pPr>
        <w:rPr>
          <w:rFonts w:hint="eastAsia" w:hAnsi="宋体" w:cs="宋体"/>
          <w:color w:val="auto"/>
          <w:highlight w:val="none"/>
        </w:rPr>
      </w:pPr>
    </w:p>
    <w:p>
      <w:pPr>
        <w:pStyle w:val="19"/>
        <w:spacing w:line="400" w:lineRule="exact"/>
        <w:ind w:firstLine="490" w:firstLineChars="200"/>
        <w:outlineLvl w:val="2"/>
        <w:rPr>
          <w:rFonts w:hint="eastAsia" w:hAnsi="宋体" w:cs="宋体"/>
          <w:b/>
          <w:color w:val="auto"/>
          <w:sz w:val="24"/>
          <w:highlight w:val="none"/>
        </w:rPr>
      </w:pPr>
      <w:bookmarkStart w:id="59" w:name="_Toc4616434"/>
      <w:r>
        <w:rPr>
          <w:rFonts w:hint="eastAsia" w:hAnsi="宋体" w:cs="宋体"/>
          <w:b/>
          <w:color w:val="auto"/>
          <w:sz w:val="24"/>
          <w:highlight w:val="none"/>
        </w:rPr>
        <w:t>5.充分、公平竞争保障措施（实质性要求）</w:t>
      </w:r>
      <w:bookmarkEnd w:id="59"/>
    </w:p>
    <w:p>
      <w:pPr>
        <w:pStyle w:val="19"/>
        <w:spacing w:line="400" w:lineRule="exact"/>
        <w:ind w:left="1" w:firstLine="490" w:firstLineChars="200"/>
        <w:rPr>
          <w:rFonts w:hint="eastAsia" w:hAnsi="宋体" w:cs="宋体"/>
          <w:color w:val="auto"/>
          <w:sz w:val="24"/>
          <w:highlight w:val="none"/>
        </w:rPr>
      </w:pPr>
      <w:r>
        <w:rPr>
          <w:rFonts w:hint="eastAsia" w:hAnsi="宋体" w:cs="宋体"/>
          <w:color w:val="auto"/>
          <w:sz w:val="24"/>
          <w:highlight w:val="none"/>
        </w:rPr>
        <w:t>5.1利害关系供应商处理。单位负责人为同一人或者存在直接控股、管理关系的不同供应商不得参加同一合同项下的采购活动。除单一来源采购项目外，为采购项目提供整体设计、规范编制或者项目管理、监理、检测等服务的供应商，不得再参加该采购项目的其他采购活动。采购项目实行资格预审的，单位负责人为同一人或者存在直接控股、管理关系的不同供应商可以参加资格预审，但只能由供应商确定其中一家符合条件的供应商参加后续的采购活动，否则，其响应文件作为无效处理。</w:t>
      </w:r>
    </w:p>
    <w:p>
      <w:pPr>
        <w:pStyle w:val="19"/>
        <w:spacing w:line="400" w:lineRule="exact"/>
        <w:ind w:left="1" w:firstLine="490" w:firstLineChars="200"/>
        <w:rPr>
          <w:rFonts w:hint="eastAsia" w:hAnsi="宋体" w:cs="宋体"/>
          <w:color w:val="auto"/>
          <w:sz w:val="24"/>
          <w:highlight w:val="none"/>
        </w:rPr>
      </w:pPr>
      <w:r>
        <w:rPr>
          <w:rFonts w:hint="eastAsia" w:hAnsi="宋体" w:cs="宋体"/>
          <w:color w:val="auto"/>
          <w:sz w:val="24"/>
          <w:highlight w:val="none"/>
        </w:rPr>
        <w:t>5.2利害关系授权代表处理。两家以上的供应商不得在同一合同项下的采购项目中，委托同一个自然人、同一家庭的人员、同一单位的人员作为其授权代表，否则，其响应文件作为无效处理。</w:t>
      </w:r>
    </w:p>
    <w:p>
      <w:pPr>
        <w:pStyle w:val="19"/>
        <w:spacing w:line="400" w:lineRule="exact"/>
        <w:ind w:left="1" w:firstLine="490" w:firstLineChars="200"/>
        <w:rPr>
          <w:rFonts w:hint="eastAsia" w:hAnsi="宋体" w:cs="宋体"/>
          <w:color w:val="auto"/>
          <w:sz w:val="24"/>
          <w:highlight w:val="none"/>
        </w:rPr>
      </w:pPr>
      <w:r>
        <w:rPr>
          <w:rFonts w:hint="eastAsia" w:hAnsi="宋体" w:cs="宋体"/>
          <w:color w:val="auto"/>
          <w:sz w:val="24"/>
          <w:highlight w:val="none"/>
        </w:rPr>
        <w:t>5.3前期参与供应商处理。为采购项目提供整体设计、规范编制或者项目管理、监理、检测等服务的供应商，不得再参加该采购项目的其他采购活动。供应商为采购人在确定采购需求、编制采购文件过程中提供咨询论证，其提供的咨询论证意见成为采购文件中规定的供应商资格条件、技术服务商务要求、评审因素和标准、采购合同等实质性内容条款的，视同为采购项目提供规范编制。</w:t>
      </w:r>
    </w:p>
    <w:p>
      <w:pPr>
        <w:pStyle w:val="20"/>
        <w:spacing w:line="400" w:lineRule="exact"/>
        <w:ind w:left="1" w:firstLine="490" w:firstLineChars="200"/>
        <w:rPr>
          <w:rFonts w:hint="eastAsia" w:hAnsi="宋体" w:cs="宋体"/>
          <w:color w:val="auto"/>
          <w:sz w:val="24"/>
          <w:highlight w:val="none"/>
        </w:rPr>
      </w:pPr>
      <w:r>
        <w:rPr>
          <w:rFonts w:hint="eastAsia" w:hAnsi="宋体" w:cs="宋体"/>
          <w:color w:val="auto"/>
          <w:sz w:val="24"/>
          <w:highlight w:val="none"/>
        </w:rPr>
        <w:t>5.4提供相同品牌产品处理。提供相同品牌产品且通过资格审查的不同供应商参加同一合同项下采购项目的，按一家供应商计算，最后报价最低的同品牌供应商获得成交供应商推荐资格；最后报价相同的，由采购人/采购人委托谈判小组自主采取公平、择优的方式确定一个供应商获得成交供应商推荐资格，其他同品牌供应商不作为成交供应商候选人。</w:t>
      </w:r>
    </w:p>
    <w:p>
      <w:pPr>
        <w:pStyle w:val="20"/>
        <w:spacing w:line="460" w:lineRule="exact"/>
        <w:ind w:left="1" w:firstLine="490" w:firstLineChars="200"/>
        <w:rPr>
          <w:rFonts w:hint="eastAsia" w:hAnsi="宋体" w:cs="宋体"/>
          <w:color w:val="auto"/>
          <w:sz w:val="24"/>
          <w:highlight w:val="none"/>
        </w:rPr>
      </w:pPr>
      <w:r>
        <w:rPr>
          <w:rFonts w:hint="eastAsia" w:hAnsi="宋体" w:cs="宋体"/>
          <w:b/>
          <w:bCs/>
          <w:color w:val="auto"/>
          <w:sz w:val="24"/>
          <w:highlight w:val="none"/>
        </w:rPr>
        <w:t>5.5</w:t>
      </w:r>
      <w:r>
        <w:rPr>
          <w:rFonts w:hint="eastAsia" w:hAnsi="宋体" w:cs="宋体"/>
          <w:color w:val="auto"/>
          <w:sz w:val="24"/>
          <w:highlight w:val="none"/>
        </w:rPr>
        <w:t xml:space="preserve"> 如本项目为信息系统采购项目，供应商不得为该整体项目或其中分项目前期工作提供过设计、编制、管理等服务的法人及附属单位。</w:t>
      </w:r>
    </w:p>
    <w:p>
      <w:pPr>
        <w:pStyle w:val="19"/>
        <w:spacing w:line="400" w:lineRule="exact"/>
        <w:ind w:left="1" w:firstLine="490" w:firstLineChars="200"/>
        <w:rPr>
          <w:rFonts w:hint="eastAsia" w:hAnsi="宋体" w:cs="宋体"/>
          <w:color w:val="auto"/>
          <w:sz w:val="24"/>
          <w:highlight w:val="none"/>
        </w:rPr>
      </w:pPr>
      <w:r>
        <w:rPr>
          <w:rFonts w:hint="eastAsia" w:hAnsi="宋体" w:cs="宋体"/>
          <w:color w:val="auto"/>
          <w:sz w:val="24"/>
          <w:highlight w:val="none"/>
        </w:rPr>
        <w:t>5.6供应商实际控制人或者中高级管理人员，同时是采购</w:t>
      </w:r>
      <w:r>
        <w:rPr>
          <w:rFonts w:hint="eastAsia" w:hAnsi="宋体" w:cs="宋体"/>
          <w:color w:val="auto"/>
          <w:sz w:val="24"/>
          <w:highlight w:val="none"/>
          <w:lang w:eastAsia="zh-CN"/>
        </w:rPr>
        <w:t>人</w:t>
      </w:r>
      <w:r>
        <w:rPr>
          <w:rFonts w:hint="eastAsia" w:hAnsi="宋体" w:cs="宋体"/>
          <w:color w:val="auto"/>
          <w:sz w:val="24"/>
          <w:highlight w:val="none"/>
        </w:rPr>
        <w:t>工作人员，不得参与本项目采购活动。</w:t>
      </w:r>
    </w:p>
    <w:p>
      <w:pPr>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5.7同一母公司的两家以上的子公司只能组成联合体参加本项目同一合同项下的采购活动，不得以不同供应商身份同时参加本项目同一合同项下的采购活动。</w:t>
      </w:r>
    </w:p>
    <w:p>
      <w:pPr>
        <w:pStyle w:val="19"/>
        <w:spacing w:line="400" w:lineRule="exact"/>
        <w:ind w:left="1" w:firstLine="490" w:firstLineChars="200"/>
        <w:rPr>
          <w:rFonts w:hint="eastAsia" w:hAnsi="宋体" w:cs="宋体"/>
          <w:color w:val="auto"/>
          <w:sz w:val="24"/>
          <w:highlight w:val="none"/>
        </w:rPr>
      </w:pPr>
      <w:r>
        <w:rPr>
          <w:rFonts w:hint="eastAsia" w:hAnsi="宋体" w:cs="宋体"/>
          <w:color w:val="auto"/>
          <w:sz w:val="24"/>
          <w:highlight w:val="none"/>
        </w:rPr>
        <w:t>5.</w:t>
      </w:r>
      <w:r>
        <w:rPr>
          <w:rFonts w:hint="eastAsia" w:hAnsi="宋体" w:cs="宋体"/>
          <w:color w:val="auto"/>
          <w:sz w:val="24"/>
          <w:highlight w:val="none"/>
          <w:lang w:val="en-US" w:eastAsia="zh-CN"/>
        </w:rPr>
        <w:t>8</w:t>
      </w:r>
      <w:r>
        <w:rPr>
          <w:rFonts w:hint="eastAsia" w:hAnsi="宋体" w:cs="宋体"/>
          <w:color w:val="auto"/>
          <w:sz w:val="24"/>
          <w:highlight w:val="none"/>
        </w:rPr>
        <w:t>回避。采购活动中，采购人员及相关人员与供应商有下列利害关系之一的，应当回避：</w:t>
      </w:r>
    </w:p>
    <w:p>
      <w:pPr>
        <w:pStyle w:val="19"/>
        <w:spacing w:line="400" w:lineRule="exact"/>
        <w:ind w:left="1" w:firstLine="490" w:firstLineChars="200"/>
        <w:rPr>
          <w:rFonts w:hint="eastAsia" w:hAnsi="宋体" w:cs="宋体"/>
          <w:color w:val="auto"/>
          <w:sz w:val="24"/>
          <w:highlight w:val="none"/>
        </w:rPr>
      </w:pPr>
      <w:r>
        <w:rPr>
          <w:rFonts w:hint="eastAsia" w:hAnsi="宋体" w:cs="宋体"/>
          <w:color w:val="auto"/>
          <w:sz w:val="24"/>
          <w:highlight w:val="none"/>
        </w:rPr>
        <w:t>（1）参加采购活动前3年内与供应商存在劳动关系；</w:t>
      </w:r>
    </w:p>
    <w:p>
      <w:pPr>
        <w:pStyle w:val="19"/>
        <w:spacing w:line="400" w:lineRule="exact"/>
        <w:ind w:left="1" w:firstLine="490" w:firstLineChars="200"/>
        <w:rPr>
          <w:rFonts w:hint="eastAsia" w:hAnsi="宋体" w:cs="宋体"/>
          <w:color w:val="auto"/>
          <w:sz w:val="24"/>
          <w:highlight w:val="none"/>
        </w:rPr>
      </w:pPr>
      <w:r>
        <w:rPr>
          <w:rFonts w:hint="eastAsia" w:hAnsi="宋体" w:cs="宋体"/>
          <w:color w:val="auto"/>
          <w:sz w:val="24"/>
          <w:highlight w:val="none"/>
        </w:rPr>
        <w:t>（2）参加采购活动前3年内担任供应商的董事、监事；</w:t>
      </w:r>
    </w:p>
    <w:p>
      <w:pPr>
        <w:pStyle w:val="19"/>
        <w:spacing w:line="400" w:lineRule="exact"/>
        <w:ind w:left="1" w:firstLine="490" w:firstLineChars="200"/>
        <w:rPr>
          <w:rFonts w:hint="eastAsia" w:hAnsi="宋体" w:cs="宋体"/>
          <w:color w:val="auto"/>
          <w:sz w:val="24"/>
          <w:highlight w:val="none"/>
        </w:rPr>
      </w:pPr>
      <w:r>
        <w:rPr>
          <w:rFonts w:hint="eastAsia" w:hAnsi="宋体" w:cs="宋体"/>
          <w:color w:val="auto"/>
          <w:sz w:val="24"/>
          <w:highlight w:val="none"/>
        </w:rPr>
        <w:t>（3）参加采购活动前3年内是供应商的控股股东或者实际控制人；</w:t>
      </w:r>
    </w:p>
    <w:p>
      <w:pPr>
        <w:pStyle w:val="19"/>
        <w:spacing w:line="400" w:lineRule="exact"/>
        <w:ind w:left="1" w:firstLine="490" w:firstLineChars="200"/>
        <w:rPr>
          <w:rFonts w:hint="eastAsia" w:hAnsi="宋体" w:cs="宋体"/>
          <w:color w:val="auto"/>
          <w:sz w:val="24"/>
          <w:highlight w:val="none"/>
        </w:rPr>
      </w:pPr>
      <w:r>
        <w:rPr>
          <w:rFonts w:hint="eastAsia" w:hAnsi="宋体" w:cs="宋体"/>
          <w:color w:val="auto"/>
          <w:sz w:val="24"/>
          <w:highlight w:val="none"/>
        </w:rPr>
        <w:t>（4）与供应商的法定代表人或者负责人有夫妻、直系血亲、三代以内旁系血亲或者近姻亲关系；</w:t>
      </w:r>
    </w:p>
    <w:p>
      <w:pPr>
        <w:pStyle w:val="19"/>
        <w:spacing w:line="400" w:lineRule="exact"/>
        <w:ind w:left="1" w:firstLine="490" w:firstLineChars="200"/>
        <w:rPr>
          <w:rFonts w:hint="eastAsia" w:hAnsi="宋体" w:cs="宋体"/>
          <w:color w:val="auto"/>
          <w:sz w:val="24"/>
          <w:highlight w:val="none"/>
        </w:rPr>
      </w:pPr>
      <w:r>
        <w:rPr>
          <w:rFonts w:hint="eastAsia" w:hAnsi="宋体" w:cs="宋体"/>
          <w:color w:val="auto"/>
          <w:sz w:val="24"/>
          <w:highlight w:val="none"/>
        </w:rPr>
        <w:t>（5）与供应商有其他可能影响采购活动公平、公正进行的关系。</w:t>
      </w:r>
    </w:p>
    <w:p>
      <w:pPr>
        <w:pStyle w:val="19"/>
        <w:spacing w:line="400" w:lineRule="exact"/>
        <w:ind w:left="1" w:firstLine="490" w:firstLineChars="200"/>
        <w:rPr>
          <w:rFonts w:hint="eastAsia" w:hAnsi="宋体" w:cs="宋体"/>
          <w:color w:val="auto"/>
          <w:sz w:val="24"/>
          <w:highlight w:val="none"/>
        </w:rPr>
      </w:pPr>
      <w:r>
        <w:rPr>
          <w:rFonts w:hint="eastAsia" w:hAnsi="宋体" w:cs="宋体"/>
          <w:color w:val="auto"/>
          <w:sz w:val="24"/>
          <w:highlight w:val="none"/>
        </w:rPr>
        <w:t>本项目采购活动中需要依法回避的采购人员是指采购人内部负责采购项目的具体经办工作人员和直接分管采购项目的负责人，本项目采购活动中需要依法回避的相关人员是指谈判小组成员。</w:t>
      </w:r>
    </w:p>
    <w:p>
      <w:pPr>
        <w:pStyle w:val="19"/>
        <w:spacing w:line="400" w:lineRule="exact"/>
        <w:ind w:left="1" w:firstLine="490" w:firstLineChars="200"/>
        <w:rPr>
          <w:rFonts w:hint="eastAsia" w:hAnsi="宋体" w:cs="宋体"/>
          <w:color w:val="auto"/>
          <w:sz w:val="24"/>
          <w:highlight w:val="none"/>
        </w:rPr>
      </w:pPr>
      <w:r>
        <w:rPr>
          <w:rFonts w:hint="eastAsia" w:hAnsi="宋体" w:cs="宋体"/>
          <w:color w:val="auto"/>
          <w:sz w:val="24"/>
          <w:highlight w:val="none"/>
        </w:rPr>
        <w:t>供应商认为采购人员及相关人员与其他供应商有利害关系的，可以向采购</w:t>
      </w:r>
      <w:r>
        <w:rPr>
          <w:rFonts w:hint="eastAsia" w:hAnsi="宋体" w:cs="宋体"/>
          <w:color w:val="auto"/>
          <w:sz w:val="24"/>
          <w:highlight w:val="none"/>
          <w:lang w:eastAsia="zh-CN"/>
        </w:rPr>
        <w:t>人</w:t>
      </w:r>
      <w:r>
        <w:rPr>
          <w:rFonts w:hint="eastAsia" w:hAnsi="宋体" w:cs="宋体"/>
          <w:color w:val="auto"/>
          <w:sz w:val="24"/>
          <w:highlight w:val="none"/>
        </w:rPr>
        <w:t>书面提出回避申请，并说明理由。采购</w:t>
      </w:r>
      <w:r>
        <w:rPr>
          <w:rFonts w:hint="eastAsia" w:hAnsi="宋体" w:cs="宋体"/>
          <w:color w:val="auto"/>
          <w:sz w:val="24"/>
          <w:highlight w:val="none"/>
          <w:lang w:eastAsia="zh-CN"/>
        </w:rPr>
        <w:t>人</w:t>
      </w:r>
      <w:r>
        <w:rPr>
          <w:rFonts w:hint="eastAsia" w:hAnsi="宋体" w:cs="宋体"/>
          <w:color w:val="auto"/>
          <w:sz w:val="24"/>
          <w:highlight w:val="none"/>
        </w:rPr>
        <w:t>将及时询问被申请回避人员，有利害关系的被申请回避人员应当回避。</w:t>
      </w:r>
    </w:p>
    <w:p>
      <w:pPr>
        <w:pStyle w:val="19"/>
        <w:spacing w:line="400" w:lineRule="exact"/>
        <w:ind w:left="1" w:firstLine="490" w:firstLineChars="200"/>
        <w:rPr>
          <w:rFonts w:hint="eastAsia" w:hAnsi="宋体" w:cs="宋体"/>
          <w:b/>
          <w:color w:val="auto"/>
          <w:sz w:val="24"/>
          <w:highlight w:val="none"/>
        </w:rPr>
      </w:pPr>
      <w:r>
        <w:rPr>
          <w:rFonts w:hint="eastAsia" w:hAnsi="宋体" w:cs="宋体"/>
          <w:b/>
          <w:color w:val="auto"/>
          <w:sz w:val="24"/>
          <w:highlight w:val="none"/>
        </w:rPr>
        <w:t>6.联合体竞争性谈判（实质性要求）</w:t>
      </w:r>
      <w:r>
        <w:rPr>
          <w:rFonts w:hint="eastAsia" w:hAnsi="宋体" w:cs="宋体"/>
          <w:color w:val="auto"/>
          <w:sz w:val="24"/>
          <w:highlight w:val="none"/>
        </w:rPr>
        <w:t>本项目不接受联合体参与采购活动</w:t>
      </w:r>
    </w:p>
    <w:p>
      <w:pPr>
        <w:pStyle w:val="19"/>
        <w:spacing w:line="400" w:lineRule="exact"/>
        <w:ind w:left="1" w:firstLine="490" w:firstLineChars="200"/>
        <w:rPr>
          <w:rFonts w:hint="eastAsia" w:hAnsi="宋体" w:cs="宋体"/>
          <w:color w:val="auto"/>
          <w:sz w:val="24"/>
          <w:highlight w:val="none"/>
        </w:rPr>
      </w:pPr>
      <w:r>
        <w:rPr>
          <w:rFonts w:hint="eastAsia" w:hAnsi="宋体" w:cs="宋体"/>
          <w:color w:val="auto"/>
          <w:sz w:val="24"/>
          <w:highlight w:val="none"/>
        </w:rPr>
        <w:t>6.1 两个以上供应商可以组成一个联合体竞争性谈判，以一个供应商的身份竞争性谈判。</w:t>
      </w:r>
    </w:p>
    <w:p>
      <w:pPr>
        <w:pStyle w:val="19"/>
        <w:spacing w:line="400" w:lineRule="exact"/>
        <w:ind w:left="1" w:firstLine="490" w:firstLineChars="200"/>
        <w:rPr>
          <w:rFonts w:hint="eastAsia" w:hAnsi="宋体" w:cs="宋体"/>
          <w:color w:val="auto"/>
          <w:sz w:val="24"/>
          <w:highlight w:val="none"/>
        </w:rPr>
      </w:pPr>
      <w:r>
        <w:rPr>
          <w:rFonts w:hint="eastAsia" w:hAnsi="宋体" w:cs="宋体"/>
          <w:color w:val="auto"/>
          <w:sz w:val="24"/>
          <w:highlight w:val="none"/>
        </w:rPr>
        <w:t>6.2 联合体各方之间应当签订联合体竞争性谈判协议，明确约定联合体各方承担的工作和相应的责任。联合体参与竞争性谈判的，应在响应文件中提供联合体协议原件。</w:t>
      </w:r>
    </w:p>
    <w:p>
      <w:pPr>
        <w:pStyle w:val="19"/>
        <w:spacing w:line="400" w:lineRule="exact"/>
        <w:ind w:left="1" w:firstLine="490" w:firstLineChars="200"/>
        <w:rPr>
          <w:rFonts w:hint="eastAsia" w:hAnsi="宋体" w:cs="宋体"/>
          <w:color w:val="auto"/>
          <w:sz w:val="24"/>
          <w:highlight w:val="none"/>
        </w:rPr>
      </w:pPr>
      <w:r>
        <w:rPr>
          <w:rFonts w:hint="eastAsia" w:hAnsi="宋体" w:cs="宋体"/>
          <w:color w:val="auto"/>
          <w:sz w:val="24"/>
          <w:highlight w:val="none"/>
        </w:rPr>
        <w:t>6.3 联合体应当确定其中一个单位为竞争性谈判的全权代表，负责参加竞争性谈判的一切事务。</w:t>
      </w:r>
    </w:p>
    <w:p>
      <w:pPr>
        <w:pStyle w:val="19"/>
        <w:spacing w:line="400" w:lineRule="exact"/>
        <w:ind w:left="1" w:firstLine="490" w:firstLineChars="200"/>
        <w:rPr>
          <w:rFonts w:hint="eastAsia" w:hAnsi="宋体" w:cs="宋体"/>
          <w:color w:val="auto"/>
          <w:sz w:val="24"/>
          <w:highlight w:val="none"/>
        </w:rPr>
      </w:pPr>
      <w:r>
        <w:rPr>
          <w:rFonts w:hint="eastAsia" w:hAnsi="宋体" w:cs="宋体"/>
          <w:color w:val="auto"/>
          <w:sz w:val="24"/>
          <w:highlight w:val="none"/>
        </w:rPr>
        <w:t>6.4 联合体各方应当共同与采购人签订采购合同，就采购合同约定的事项对采购人承担连带责任。</w:t>
      </w:r>
    </w:p>
    <w:p>
      <w:pPr>
        <w:pStyle w:val="19"/>
        <w:spacing w:line="400" w:lineRule="exact"/>
        <w:ind w:left="1" w:firstLine="490" w:firstLineChars="200"/>
        <w:rPr>
          <w:rFonts w:hint="eastAsia" w:hAnsi="宋体" w:cs="宋体"/>
          <w:color w:val="auto"/>
          <w:sz w:val="24"/>
          <w:highlight w:val="none"/>
        </w:rPr>
      </w:pPr>
      <w:r>
        <w:rPr>
          <w:rFonts w:hint="eastAsia" w:hAnsi="宋体" w:cs="宋体"/>
          <w:color w:val="auto"/>
          <w:sz w:val="24"/>
          <w:highlight w:val="none"/>
        </w:rPr>
        <w:t>6.5联合体中有同类资质的供应商按照联合体分工承担相同工作的，将按照资质等级较低的供应商确定资质等级。</w:t>
      </w:r>
    </w:p>
    <w:p>
      <w:pPr>
        <w:pStyle w:val="19"/>
        <w:spacing w:line="400" w:lineRule="exact"/>
        <w:ind w:left="1" w:firstLine="490" w:firstLineChars="200"/>
        <w:rPr>
          <w:rFonts w:hint="eastAsia" w:hAnsi="宋体" w:cs="宋体"/>
          <w:color w:val="auto"/>
          <w:sz w:val="24"/>
          <w:highlight w:val="none"/>
        </w:rPr>
      </w:pPr>
      <w:r>
        <w:rPr>
          <w:rFonts w:hint="eastAsia" w:hAnsi="宋体" w:cs="宋体"/>
          <w:color w:val="auto"/>
          <w:sz w:val="24"/>
          <w:highlight w:val="none"/>
        </w:rPr>
        <w:t>6.6以联合体形式参加采购活动的，联合体各方不得再单独参加或者与其他供应商另外组成联合体参加同一合同项下的采购活动。</w:t>
      </w:r>
    </w:p>
    <w:p>
      <w:pPr>
        <w:pStyle w:val="19"/>
        <w:spacing w:line="400" w:lineRule="exact"/>
        <w:ind w:left="1" w:firstLine="490" w:firstLineChars="200"/>
        <w:rPr>
          <w:rFonts w:hint="eastAsia" w:hAnsi="宋体" w:cs="宋体"/>
          <w:color w:val="auto"/>
          <w:sz w:val="24"/>
          <w:highlight w:val="none"/>
        </w:rPr>
      </w:pPr>
    </w:p>
    <w:p>
      <w:pPr>
        <w:pStyle w:val="19"/>
        <w:spacing w:line="400" w:lineRule="exact"/>
        <w:ind w:firstLine="490" w:firstLineChars="200"/>
        <w:outlineLvl w:val="2"/>
        <w:rPr>
          <w:rFonts w:hint="eastAsia" w:hAnsi="宋体" w:cs="宋体"/>
          <w:b/>
          <w:color w:val="auto"/>
          <w:sz w:val="24"/>
          <w:highlight w:val="none"/>
        </w:rPr>
      </w:pPr>
      <w:bookmarkStart w:id="60" w:name="_Toc4616435"/>
      <w:r>
        <w:rPr>
          <w:rFonts w:hint="eastAsia" w:hAnsi="宋体" w:cs="宋体"/>
          <w:b/>
          <w:color w:val="auto"/>
          <w:sz w:val="24"/>
          <w:highlight w:val="none"/>
        </w:rPr>
        <w:t>7.谈判保证金（实质性要求）</w:t>
      </w:r>
      <w:bookmarkEnd w:id="60"/>
    </w:p>
    <w:p>
      <w:pPr>
        <w:spacing w:line="400" w:lineRule="exact"/>
        <w:ind w:firstLine="479" w:firstLineChars="196"/>
        <w:rPr>
          <w:rFonts w:hint="eastAsia" w:hAnsi="宋体" w:eastAsia="宋体" w:cs="宋体"/>
          <w:b/>
          <w:bCs/>
          <w:color w:val="auto"/>
          <w:sz w:val="24"/>
          <w:highlight w:val="none"/>
          <w:lang w:eastAsia="zh-CN"/>
        </w:rPr>
      </w:pPr>
      <w:r>
        <w:rPr>
          <w:rFonts w:hint="eastAsia" w:hAnsi="宋体" w:cs="宋体"/>
          <w:b/>
          <w:bCs/>
          <w:color w:val="auto"/>
          <w:sz w:val="24"/>
          <w:highlight w:val="none"/>
          <w:lang w:eastAsia="zh-CN"/>
        </w:rPr>
        <w:t>本项目不收取</w:t>
      </w:r>
      <w:r>
        <w:rPr>
          <w:rFonts w:hint="eastAsia" w:hAnsi="宋体" w:cs="宋体"/>
          <w:b/>
          <w:bCs/>
          <w:color w:val="auto"/>
          <w:sz w:val="24"/>
          <w:highlight w:val="none"/>
        </w:rPr>
        <w:t>谈判保证金</w:t>
      </w:r>
    </w:p>
    <w:p>
      <w:pPr>
        <w:spacing w:line="400" w:lineRule="exact"/>
        <w:ind w:firstLine="479" w:firstLineChars="196"/>
        <w:outlineLvl w:val="2"/>
        <w:rPr>
          <w:rFonts w:hint="eastAsia" w:hAnsi="宋体" w:cs="宋体"/>
          <w:b/>
          <w:color w:val="auto"/>
          <w:sz w:val="24"/>
          <w:highlight w:val="none"/>
        </w:rPr>
      </w:pPr>
      <w:bookmarkStart w:id="61" w:name="_Toc4616436"/>
      <w:r>
        <w:rPr>
          <w:rFonts w:hint="eastAsia" w:hAnsi="宋体" w:cs="宋体"/>
          <w:b/>
          <w:color w:val="auto"/>
          <w:sz w:val="24"/>
          <w:highlight w:val="none"/>
        </w:rPr>
        <w:t>8.响应文件有效期（实质性要求）</w:t>
      </w:r>
      <w:bookmarkEnd w:id="61"/>
    </w:p>
    <w:p>
      <w:pPr>
        <w:spacing w:line="400" w:lineRule="exact"/>
        <w:ind w:firstLine="479" w:firstLineChars="196"/>
        <w:rPr>
          <w:rFonts w:hint="eastAsia" w:hAnsi="宋体" w:cs="宋体"/>
          <w:color w:val="auto"/>
          <w:sz w:val="24"/>
          <w:highlight w:val="none"/>
        </w:rPr>
      </w:pPr>
      <w:r>
        <w:rPr>
          <w:rFonts w:hint="eastAsia" w:hAnsi="宋体" w:cs="宋体"/>
          <w:color w:val="auto"/>
          <w:sz w:val="24"/>
          <w:highlight w:val="none"/>
        </w:rPr>
        <w:t>本项目响应文件有效期为递交谈判响应文件截止之日起90天。供应商响应文件中必须载明响应文件有效期，响应文件中载明的响应文件有效期可以长于谈判文件规定的期限，但不得短于谈判文件规定的期限。否则，其响应文件将作为无效响应处理。</w:t>
      </w:r>
    </w:p>
    <w:p>
      <w:pPr>
        <w:spacing w:line="400" w:lineRule="exact"/>
        <w:ind w:firstLine="479" w:firstLineChars="196"/>
        <w:rPr>
          <w:rFonts w:hint="eastAsia" w:hAnsi="宋体" w:cs="宋体"/>
          <w:color w:val="auto"/>
          <w:sz w:val="24"/>
          <w:highlight w:val="none"/>
        </w:rPr>
      </w:pPr>
    </w:p>
    <w:p>
      <w:pPr>
        <w:pStyle w:val="8"/>
        <w:numPr>
          <w:ilvl w:val="0"/>
          <w:numId w:val="2"/>
        </w:numPr>
        <w:spacing w:line="400" w:lineRule="exact"/>
        <w:ind w:firstLine="490" w:firstLineChars="200"/>
        <w:outlineLvl w:val="2"/>
        <w:rPr>
          <w:rFonts w:hint="eastAsia" w:ascii="宋体" w:hAnsi="宋体" w:cs="宋体"/>
          <w:b/>
          <w:bCs/>
          <w:color w:val="auto"/>
          <w:sz w:val="24"/>
          <w:szCs w:val="24"/>
          <w:highlight w:val="none"/>
        </w:rPr>
      </w:pPr>
      <w:bookmarkStart w:id="62" w:name="_Toc4616437"/>
      <w:r>
        <w:rPr>
          <w:rFonts w:hint="eastAsia" w:ascii="宋体" w:hAnsi="宋体" w:cs="宋体"/>
          <w:b/>
          <w:bCs/>
          <w:color w:val="auto"/>
          <w:sz w:val="24"/>
          <w:szCs w:val="24"/>
          <w:highlight w:val="none"/>
        </w:rPr>
        <w:t>知识产权（实质性要求）</w:t>
      </w:r>
      <w:bookmarkEnd w:id="62"/>
    </w:p>
    <w:p>
      <w:pPr>
        <w:pStyle w:val="8"/>
        <w:spacing w:line="400" w:lineRule="exact"/>
        <w:ind w:firstLine="490" w:firstLineChars="200"/>
        <w:rPr>
          <w:rFonts w:hint="eastAsia" w:ascii="宋体" w:hAnsi="宋体" w:cs="宋体"/>
          <w:color w:val="auto"/>
          <w:sz w:val="24"/>
          <w:szCs w:val="24"/>
          <w:highlight w:val="none"/>
        </w:rPr>
      </w:pPr>
      <w:bookmarkStart w:id="63" w:name="_Toc77400779"/>
      <w:bookmarkStart w:id="64" w:name="_Toc217446038"/>
      <w:bookmarkStart w:id="65" w:name="_Toc89075875"/>
      <w:bookmarkStart w:id="66" w:name="_Toc183682346"/>
      <w:bookmarkStart w:id="67" w:name="_Toc183582209"/>
      <w:r>
        <w:rPr>
          <w:rFonts w:hint="eastAsia" w:ascii="宋体" w:hAnsi="宋体" w:cs="宋体"/>
          <w:color w:val="auto"/>
          <w:sz w:val="24"/>
          <w:szCs w:val="24"/>
          <w:highlight w:val="none"/>
        </w:rPr>
        <w:t xml:space="preserve">9.1 </w:t>
      </w:r>
      <w:r>
        <w:rPr>
          <w:rFonts w:hint="eastAsia" w:ascii="宋体" w:hAnsi="宋体" w:cs="宋体"/>
          <w:color w:val="auto"/>
          <w:sz w:val="24"/>
          <w:highlight w:val="none"/>
        </w:rPr>
        <w:t>供应商</w:t>
      </w:r>
      <w:r>
        <w:rPr>
          <w:rFonts w:hint="eastAsia" w:ascii="宋体" w:hAnsi="宋体" w:cs="宋体"/>
          <w:color w:val="auto"/>
          <w:sz w:val="24"/>
          <w:szCs w:val="24"/>
          <w:highlight w:val="none"/>
        </w:rPr>
        <w:t>应保证在本项目中使用的任何产品和服务（包括部分使用），不会产生因第三方提出侵犯其专利权、商标权或其它知识产权而引起的法律和经济纠纷，如因专利权、商标权或其它知识产权而引起法律和经济纠纷，由</w:t>
      </w:r>
      <w:r>
        <w:rPr>
          <w:rFonts w:hint="eastAsia" w:ascii="宋体" w:hAnsi="宋体" w:cs="宋体"/>
          <w:color w:val="auto"/>
          <w:sz w:val="24"/>
          <w:highlight w:val="none"/>
        </w:rPr>
        <w:t>供应商</w:t>
      </w:r>
      <w:r>
        <w:rPr>
          <w:rFonts w:hint="eastAsia" w:ascii="宋体" w:hAnsi="宋体" w:cs="宋体"/>
          <w:color w:val="auto"/>
          <w:sz w:val="24"/>
          <w:szCs w:val="24"/>
          <w:highlight w:val="none"/>
        </w:rPr>
        <w:t>承担所有相关责任。</w:t>
      </w:r>
    </w:p>
    <w:p>
      <w:pPr>
        <w:pStyle w:val="8"/>
        <w:spacing w:line="400" w:lineRule="exact"/>
        <w:ind w:firstLine="49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9.2 除非谈判文件特别规定，采购人享有本项目实施过程中产生的知识成果及知识产权。</w:t>
      </w:r>
    </w:p>
    <w:p>
      <w:pPr>
        <w:spacing w:line="400" w:lineRule="exact"/>
        <w:ind w:firstLine="490" w:firstLineChars="200"/>
        <w:rPr>
          <w:rFonts w:hint="eastAsia" w:hAnsi="宋体" w:cs="宋体"/>
          <w:b/>
          <w:bCs/>
          <w:color w:val="auto"/>
          <w:sz w:val="32"/>
          <w:szCs w:val="32"/>
          <w:highlight w:val="none"/>
        </w:rPr>
      </w:pPr>
      <w:r>
        <w:rPr>
          <w:rFonts w:hint="eastAsia" w:hAnsi="宋体" w:cs="宋体"/>
          <w:color w:val="auto"/>
          <w:sz w:val="24"/>
          <w:highlight w:val="none"/>
        </w:rPr>
        <w:t>9.3</w:t>
      </w:r>
      <w:r>
        <w:rPr>
          <w:rFonts w:hint="eastAsia" w:hAnsi="宋体" w:cs="宋体"/>
          <w:color w:val="auto"/>
          <w:sz w:val="24"/>
          <w:highlight w:val="none"/>
          <w:lang w:val="zh-CN"/>
        </w:rPr>
        <w:t>供应商如欲在项目实施过程中采用自有知识成果，使用该知识成果后，供应商人需提供开发接口和开发手册等技术文档，并承诺提供无限期技术支持，采购人享有永久使用权（含采购人委托第三方在该项目后续开发的使用权），</w:t>
      </w:r>
      <w:r>
        <w:rPr>
          <w:rFonts w:hint="eastAsia" w:hAnsi="宋体" w:cs="宋体"/>
          <w:b/>
          <w:bCs/>
          <w:color w:val="auto"/>
          <w:sz w:val="24"/>
          <w:highlight w:val="none"/>
          <w:lang w:val="zh-CN"/>
        </w:rPr>
        <w:t>同时需在响应文件中提供声明，并提供相关知识产权证明文件，否则视为供应商未在本项目实施过程中采用自有知识成果，不影响有效性</w:t>
      </w:r>
      <w:r>
        <w:rPr>
          <w:rFonts w:hint="eastAsia" w:hAnsi="宋体" w:cs="宋体"/>
          <w:b/>
          <w:bCs/>
          <w:color w:val="auto"/>
          <w:sz w:val="24"/>
          <w:highlight w:val="none"/>
        </w:rPr>
        <w:t>。</w:t>
      </w:r>
    </w:p>
    <w:p>
      <w:pPr>
        <w:spacing w:line="400" w:lineRule="exact"/>
        <w:ind w:firstLine="469" w:firstLineChars="192"/>
        <w:rPr>
          <w:rFonts w:hint="eastAsia" w:hAnsi="宋体" w:cs="宋体"/>
          <w:color w:val="auto"/>
          <w:sz w:val="24"/>
          <w:highlight w:val="none"/>
        </w:rPr>
      </w:pPr>
      <w:r>
        <w:rPr>
          <w:rFonts w:hint="eastAsia" w:hAnsi="宋体" w:cs="宋体"/>
          <w:color w:val="auto"/>
          <w:sz w:val="24"/>
          <w:highlight w:val="none"/>
        </w:rPr>
        <w:t>9.4 如采用供应商所不拥有的知识产权，则在报价中必须包括合法获取该知识产权的相关费用，</w:t>
      </w:r>
      <w:r>
        <w:rPr>
          <w:rFonts w:hint="eastAsia" w:hAnsi="宋体" w:cs="宋体"/>
          <w:b/>
          <w:bCs/>
          <w:color w:val="auto"/>
          <w:sz w:val="24"/>
          <w:highlight w:val="none"/>
          <w:lang w:val="zh-CN"/>
        </w:rPr>
        <w:t>采购人不再因供应商采用所不拥有的知识产权而另行支付任何费用。</w:t>
      </w:r>
      <w:r>
        <w:rPr>
          <w:rFonts w:hint="eastAsia" w:hAnsi="宋体" w:cs="宋体"/>
          <w:b/>
          <w:bCs/>
          <w:color w:val="auto"/>
          <w:sz w:val="24"/>
          <w:highlight w:val="none"/>
        </w:rPr>
        <w:t xml:space="preserve"> </w:t>
      </w:r>
    </w:p>
    <w:p>
      <w:pPr>
        <w:rPr>
          <w:rFonts w:hint="eastAsia" w:hAnsi="宋体" w:cs="宋体"/>
          <w:color w:val="auto"/>
          <w:highlight w:val="none"/>
        </w:rPr>
      </w:pPr>
    </w:p>
    <w:p>
      <w:pPr>
        <w:pStyle w:val="4"/>
        <w:keepNext w:val="0"/>
        <w:keepLines w:val="0"/>
        <w:spacing w:before="0" w:after="0" w:line="400" w:lineRule="exact"/>
        <w:jc w:val="center"/>
        <w:rPr>
          <w:rFonts w:hint="eastAsia" w:ascii="宋体" w:hAnsi="宋体" w:eastAsia="宋体" w:cs="宋体"/>
          <w:bCs w:val="0"/>
          <w:color w:val="auto"/>
          <w:highlight w:val="none"/>
        </w:rPr>
      </w:pPr>
      <w:bookmarkStart w:id="68" w:name="_Toc4616438"/>
      <w:r>
        <w:rPr>
          <w:rFonts w:hint="eastAsia" w:ascii="宋体" w:hAnsi="宋体" w:eastAsia="宋体" w:cs="宋体"/>
          <w:bCs w:val="0"/>
          <w:color w:val="auto"/>
          <w:highlight w:val="none"/>
        </w:rPr>
        <w:t>三、谈判文件</w:t>
      </w:r>
      <w:bookmarkEnd w:id="63"/>
      <w:bookmarkEnd w:id="64"/>
      <w:bookmarkEnd w:id="65"/>
      <w:bookmarkEnd w:id="66"/>
      <w:bookmarkEnd w:id="67"/>
      <w:bookmarkEnd w:id="68"/>
    </w:p>
    <w:p>
      <w:pPr>
        <w:rPr>
          <w:rFonts w:hint="eastAsia" w:hAnsi="宋体" w:cs="宋体"/>
          <w:color w:val="auto"/>
          <w:highlight w:val="none"/>
        </w:rPr>
      </w:pPr>
      <w:bookmarkStart w:id="69" w:name="_Toc183582210"/>
      <w:bookmarkStart w:id="70" w:name="_Toc217446039"/>
      <w:bookmarkStart w:id="71" w:name="_Toc183682347"/>
    </w:p>
    <w:p>
      <w:pPr>
        <w:pStyle w:val="5"/>
        <w:keepNext w:val="0"/>
        <w:keepLines w:val="0"/>
        <w:spacing w:before="0" w:after="0" w:line="400" w:lineRule="exact"/>
        <w:ind w:firstLine="490" w:firstLineChars="200"/>
        <w:rPr>
          <w:rFonts w:hint="eastAsia" w:ascii="宋体" w:hAnsi="宋体" w:cs="宋体"/>
          <w:color w:val="auto"/>
          <w:sz w:val="24"/>
          <w:highlight w:val="none"/>
        </w:rPr>
      </w:pPr>
      <w:bookmarkStart w:id="72" w:name="_Toc4616439"/>
      <w:r>
        <w:rPr>
          <w:rFonts w:hint="eastAsia" w:ascii="宋体" w:hAnsi="宋体" w:cs="宋体"/>
          <w:color w:val="auto"/>
          <w:sz w:val="24"/>
          <w:highlight w:val="none"/>
        </w:rPr>
        <w:t>10.谈判文件的构成</w:t>
      </w:r>
      <w:bookmarkEnd w:id="69"/>
      <w:bookmarkEnd w:id="70"/>
      <w:bookmarkEnd w:id="71"/>
      <w:r>
        <w:rPr>
          <w:rFonts w:hint="eastAsia" w:ascii="宋体" w:hAnsi="宋体" w:cs="宋体"/>
          <w:color w:val="auto"/>
          <w:sz w:val="24"/>
          <w:highlight w:val="none"/>
        </w:rPr>
        <w:t>（实质性要求）</w:t>
      </w:r>
      <w:bookmarkEnd w:id="72"/>
    </w:p>
    <w:p>
      <w:pPr>
        <w:tabs>
          <w:tab w:val="left" w:pos="720"/>
        </w:tabs>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10</w:t>
      </w:r>
      <w:r>
        <w:rPr>
          <w:rFonts w:hint="eastAsia" w:hAnsi="宋体" w:cs="宋体"/>
          <w:b/>
          <w:bCs/>
          <w:color w:val="auto"/>
          <w:sz w:val="24"/>
          <w:highlight w:val="none"/>
        </w:rPr>
        <w:t>.</w:t>
      </w:r>
      <w:r>
        <w:rPr>
          <w:rFonts w:hint="eastAsia" w:hAnsi="宋体" w:cs="宋体"/>
          <w:color w:val="auto"/>
          <w:sz w:val="24"/>
          <w:highlight w:val="none"/>
        </w:rPr>
        <w:t>1 谈判文件是供应商准备响应文件和参加谈判的依据，同时也是谈判的重要依据。谈判文件用以阐明谈判项目所需的资质、技术、服务及报价等要求、谈判程序、有关规定和注意事项以及合同主要条款等。</w:t>
      </w:r>
    </w:p>
    <w:p>
      <w:pPr>
        <w:tabs>
          <w:tab w:val="left" w:pos="7665"/>
        </w:tabs>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10</w:t>
      </w:r>
      <w:r>
        <w:rPr>
          <w:rFonts w:hint="eastAsia" w:hAnsi="宋体" w:cs="宋体"/>
          <w:b/>
          <w:bCs/>
          <w:color w:val="auto"/>
          <w:sz w:val="24"/>
          <w:highlight w:val="none"/>
        </w:rPr>
        <w:t>.</w:t>
      </w:r>
      <w:r>
        <w:rPr>
          <w:rFonts w:hint="eastAsia" w:hAnsi="宋体" w:cs="宋体"/>
          <w:color w:val="auto"/>
          <w:sz w:val="24"/>
          <w:highlight w:val="none"/>
        </w:rPr>
        <w:t>2 供应商应认真阅读和充分理解谈判文件中所有的事项、格式条款和规范要求。供应商应详细阅读谈判文件的全部内容，按照谈判文件的要求提供响应文件，并保证所提供的全部资料的真实性和有效性，一经发现有虚假行为的，将取消其参加谈判或成交资格，并承担相应的法律责任。</w:t>
      </w:r>
    </w:p>
    <w:p>
      <w:pPr>
        <w:rPr>
          <w:rFonts w:hint="eastAsia" w:hAnsi="宋体" w:cs="宋体"/>
          <w:color w:val="auto"/>
          <w:highlight w:val="none"/>
        </w:rPr>
      </w:pPr>
      <w:bookmarkStart w:id="73" w:name="_Toc183582211"/>
      <w:bookmarkStart w:id="74" w:name="_Toc183682348"/>
      <w:bookmarkStart w:id="75" w:name="_Toc217446040"/>
    </w:p>
    <w:p>
      <w:pPr>
        <w:pStyle w:val="5"/>
        <w:keepNext w:val="0"/>
        <w:keepLines w:val="0"/>
        <w:spacing w:before="0" w:after="0" w:line="400" w:lineRule="exact"/>
        <w:ind w:firstLine="490" w:firstLineChars="200"/>
        <w:rPr>
          <w:rFonts w:hint="eastAsia" w:ascii="宋体" w:hAnsi="宋体" w:cs="宋体"/>
          <w:color w:val="auto"/>
          <w:sz w:val="24"/>
          <w:highlight w:val="none"/>
        </w:rPr>
      </w:pPr>
      <w:bookmarkStart w:id="76" w:name="_Toc4616440"/>
      <w:r>
        <w:rPr>
          <w:rFonts w:hint="eastAsia" w:ascii="宋体" w:hAnsi="宋体" w:cs="宋体"/>
          <w:color w:val="auto"/>
          <w:sz w:val="24"/>
          <w:highlight w:val="none"/>
        </w:rPr>
        <w:t>11.谈判文件的澄清</w:t>
      </w:r>
      <w:bookmarkEnd w:id="73"/>
      <w:bookmarkEnd w:id="74"/>
      <w:r>
        <w:rPr>
          <w:rFonts w:hint="eastAsia" w:ascii="宋体" w:hAnsi="宋体" w:cs="宋体"/>
          <w:color w:val="auto"/>
          <w:sz w:val="24"/>
          <w:highlight w:val="none"/>
        </w:rPr>
        <w:t>和修改</w:t>
      </w:r>
      <w:bookmarkEnd w:id="75"/>
      <w:bookmarkEnd w:id="76"/>
    </w:p>
    <w:p>
      <w:pPr>
        <w:tabs>
          <w:tab w:val="left" w:pos="720"/>
        </w:tabs>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11.1 在递交响应文件截止时间前，采购人可以对谈判文件进行澄清或者修改。</w:t>
      </w:r>
    </w:p>
    <w:p>
      <w:pPr>
        <w:tabs>
          <w:tab w:val="left" w:pos="720"/>
        </w:tabs>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11.2 采购</w:t>
      </w:r>
      <w:r>
        <w:rPr>
          <w:rFonts w:hint="eastAsia" w:hAnsi="宋体" w:cs="宋体"/>
          <w:color w:val="auto"/>
          <w:sz w:val="24"/>
          <w:highlight w:val="none"/>
          <w:lang w:eastAsia="zh-CN"/>
        </w:rPr>
        <w:t>人</w:t>
      </w:r>
      <w:r>
        <w:rPr>
          <w:rFonts w:hint="eastAsia" w:hAnsi="宋体" w:cs="宋体"/>
          <w:color w:val="auto"/>
          <w:sz w:val="24"/>
          <w:highlight w:val="none"/>
        </w:rPr>
        <w:t>对已发出的谈判文件进行澄清或者修改，应当以书面形式将澄清或者修改的内容通知所有购买了谈判文件的供应商，同时发布更正公告。该澄清或者修改的内容为谈判文件的组成部分，澄清或者修改的内容可能影响响应文件编制的，采购人发布公告并书面通知供应商的时间，应当在提交首次响应文件截止之日起3个工作日前；不足上述时间的，应当顺延递交响应文件的截止时间。</w:t>
      </w:r>
    </w:p>
    <w:p>
      <w:pPr>
        <w:tabs>
          <w:tab w:val="left" w:pos="720"/>
        </w:tabs>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11.3供应商认为采购人需要对谈判文件进行澄清或者修改的，可以在谈判截止时间前3日以书面形式向采购人提出申请，由采购人决定是否采纳供应商的申请事项</w:t>
      </w:r>
    </w:p>
    <w:p>
      <w:pPr>
        <w:rPr>
          <w:rFonts w:hint="eastAsia" w:hAnsi="宋体" w:cs="宋体"/>
          <w:color w:val="auto"/>
          <w:highlight w:val="none"/>
        </w:rPr>
      </w:pPr>
    </w:p>
    <w:p>
      <w:pPr>
        <w:pStyle w:val="5"/>
        <w:keepNext w:val="0"/>
        <w:keepLines w:val="0"/>
        <w:spacing w:before="0" w:after="0" w:line="400" w:lineRule="exact"/>
        <w:ind w:firstLine="490" w:firstLineChars="200"/>
        <w:rPr>
          <w:rFonts w:hint="eastAsia" w:ascii="宋体" w:hAnsi="宋体" w:cs="宋体"/>
          <w:color w:val="auto"/>
          <w:sz w:val="24"/>
          <w:highlight w:val="none"/>
        </w:rPr>
      </w:pPr>
      <w:bookmarkStart w:id="77" w:name="_Toc4616441"/>
      <w:bookmarkStart w:id="78" w:name="_Toc208848971"/>
      <w:bookmarkStart w:id="79" w:name="_Toc217446041"/>
      <w:r>
        <w:rPr>
          <w:rFonts w:hint="eastAsia" w:ascii="宋体" w:hAnsi="宋体" w:cs="宋体"/>
          <w:color w:val="auto"/>
          <w:sz w:val="24"/>
          <w:highlight w:val="none"/>
        </w:rPr>
        <w:t>12.答疑会和现场考察</w:t>
      </w:r>
      <w:bookmarkEnd w:id="77"/>
      <w:bookmarkEnd w:id="78"/>
      <w:bookmarkEnd w:id="79"/>
    </w:p>
    <w:p>
      <w:pPr>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12.1 根据采购项目和具体情况，采购人认为有必要，可以在谈判文件提供期限截止后响应文件提交截止前，组织已获取谈判文件的潜在供应商现场考察或者召开答疑会。</w:t>
      </w:r>
    </w:p>
    <w:p>
      <w:pPr>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12.2采购人组织现场考察或者召开答疑会的，将以书面形式通知所有获取谈判文件的潜在供应商。供应商接到通知后，不按照要求参加现场考察或者答疑会的，视同放弃参加现场考察或者答疑的权利，采购人不再对该供应商重新组织，但也不会以此限制供应商提交响应文件或者以此将供应商响应文件直接作为无效处理。</w:t>
      </w:r>
    </w:p>
    <w:p>
      <w:pPr>
        <w:adjustRightInd w:val="0"/>
        <w:snapToGrid w:val="0"/>
        <w:spacing w:line="400" w:lineRule="exact"/>
        <w:ind w:firstLine="428" w:firstLineChars="175"/>
        <w:rPr>
          <w:rFonts w:hint="eastAsia" w:hAnsi="宋体" w:cs="宋体"/>
          <w:color w:val="auto"/>
          <w:sz w:val="24"/>
          <w:highlight w:val="none"/>
        </w:rPr>
      </w:pPr>
      <w:r>
        <w:rPr>
          <w:rFonts w:hint="eastAsia" w:hAnsi="宋体" w:cs="宋体"/>
          <w:color w:val="auto"/>
          <w:sz w:val="24"/>
          <w:highlight w:val="none"/>
        </w:rPr>
        <w:t>12.3 供应商自行承担参加答疑会和现场考察的一切费用。</w:t>
      </w:r>
    </w:p>
    <w:p>
      <w:pPr>
        <w:rPr>
          <w:rFonts w:hint="eastAsia" w:hAnsi="宋体" w:cs="宋体"/>
          <w:color w:val="auto"/>
          <w:highlight w:val="none"/>
        </w:rPr>
      </w:pPr>
      <w:bookmarkStart w:id="80" w:name="_Toc77400780"/>
      <w:bookmarkStart w:id="81" w:name="_Toc183582214"/>
      <w:bookmarkStart w:id="82" w:name="_Toc89075876"/>
      <w:bookmarkStart w:id="83" w:name="_Toc217446042"/>
      <w:bookmarkStart w:id="84" w:name="_Toc183682351"/>
    </w:p>
    <w:p>
      <w:pPr>
        <w:pStyle w:val="4"/>
        <w:keepNext w:val="0"/>
        <w:keepLines w:val="0"/>
        <w:spacing w:before="0" w:after="0" w:line="400" w:lineRule="exact"/>
        <w:jc w:val="center"/>
        <w:rPr>
          <w:rFonts w:hint="eastAsia" w:ascii="宋体" w:hAnsi="宋体" w:eastAsia="宋体" w:cs="宋体"/>
          <w:bCs w:val="0"/>
          <w:color w:val="auto"/>
          <w:highlight w:val="none"/>
        </w:rPr>
      </w:pPr>
      <w:bookmarkStart w:id="85" w:name="_Toc4616442"/>
      <w:r>
        <w:rPr>
          <w:rFonts w:hint="eastAsia" w:ascii="宋体" w:hAnsi="宋体" w:eastAsia="宋体" w:cs="宋体"/>
          <w:bCs w:val="0"/>
          <w:color w:val="auto"/>
          <w:highlight w:val="none"/>
        </w:rPr>
        <w:t>四、响应文件</w:t>
      </w:r>
      <w:bookmarkEnd w:id="80"/>
      <w:bookmarkEnd w:id="81"/>
      <w:bookmarkEnd w:id="82"/>
      <w:bookmarkEnd w:id="83"/>
      <w:bookmarkEnd w:id="84"/>
      <w:bookmarkEnd w:id="85"/>
    </w:p>
    <w:p>
      <w:pPr>
        <w:rPr>
          <w:rFonts w:hint="eastAsia" w:hAnsi="宋体" w:cs="宋体"/>
          <w:color w:val="auto"/>
          <w:highlight w:val="none"/>
        </w:rPr>
      </w:pPr>
      <w:bookmarkStart w:id="86" w:name="_Toc183582215"/>
      <w:bookmarkStart w:id="87" w:name="_Toc217446043"/>
      <w:bookmarkStart w:id="88" w:name="_Toc183682352"/>
    </w:p>
    <w:p>
      <w:pPr>
        <w:pStyle w:val="5"/>
        <w:keepNext w:val="0"/>
        <w:keepLines w:val="0"/>
        <w:spacing w:before="0" w:after="0" w:line="400" w:lineRule="exact"/>
        <w:ind w:firstLine="490" w:firstLineChars="200"/>
        <w:rPr>
          <w:rFonts w:hint="eastAsia" w:ascii="宋体" w:hAnsi="宋体" w:cs="宋体"/>
          <w:color w:val="auto"/>
          <w:sz w:val="24"/>
          <w:highlight w:val="none"/>
        </w:rPr>
      </w:pPr>
      <w:bookmarkStart w:id="89" w:name="_Toc4616443"/>
      <w:r>
        <w:rPr>
          <w:rFonts w:hint="eastAsia" w:ascii="宋体" w:hAnsi="宋体" w:cs="宋体"/>
          <w:color w:val="auto"/>
          <w:sz w:val="24"/>
          <w:highlight w:val="none"/>
        </w:rPr>
        <w:t>13.响应文件的组成（实质性要求）</w:t>
      </w:r>
      <w:bookmarkEnd w:id="89"/>
    </w:p>
    <w:p>
      <w:pPr>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13.1供应商应按照谈判文件的规定和要求编制响应文件。供应商在成交后将成交项目的非主体、非关键性工作分包他人完成的，应当在响应文件中载明或谈判过程中澄清。</w:t>
      </w:r>
    </w:p>
    <w:p>
      <w:pPr>
        <w:spacing w:line="400" w:lineRule="exact"/>
        <w:ind w:left="3" w:leftChars="1" w:firstLine="490" w:firstLineChars="200"/>
        <w:rPr>
          <w:rFonts w:hint="eastAsia" w:hAnsi="宋体" w:cs="宋体"/>
          <w:color w:val="auto"/>
          <w:sz w:val="24"/>
          <w:highlight w:val="none"/>
        </w:rPr>
      </w:pPr>
      <w:r>
        <w:rPr>
          <w:rFonts w:hint="eastAsia" w:hAnsi="宋体" w:cs="宋体"/>
          <w:color w:val="auto"/>
          <w:sz w:val="24"/>
          <w:highlight w:val="none"/>
        </w:rPr>
        <w:t>13.2资格性响应文件：供应商按照谈判文件要求编写资格性响应文件：</w:t>
      </w:r>
    </w:p>
    <w:p>
      <w:pPr>
        <w:numPr>
          <w:ilvl w:val="0"/>
          <w:numId w:val="3"/>
        </w:numPr>
        <w:spacing w:line="400" w:lineRule="exact"/>
        <w:ind w:left="3" w:leftChars="1" w:firstLine="490" w:firstLineChars="200"/>
        <w:rPr>
          <w:rFonts w:hint="eastAsia" w:hAnsi="宋体" w:cs="宋体"/>
          <w:color w:val="auto"/>
          <w:sz w:val="24"/>
          <w:highlight w:val="none"/>
        </w:rPr>
      </w:pPr>
      <w:r>
        <w:rPr>
          <w:rFonts w:hint="eastAsia" w:hAnsi="宋体" w:cs="宋体"/>
          <w:color w:val="auto"/>
          <w:sz w:val="24"/>
          <w:highlight w:val="none"/>
        </w:rPr>
        <w:t>声明函、承诺函；</w:t>
      </w:r>
    </w:p>
    <w:p>
      <w:pPr>
        <w:numPr>
          <w:ilvl w:val="0"/>
          <w:numId w:val="3"/>
        </w:numPr>
        <w:spacing w:line="400" w:lineRule="exact"/>
        <w:ind w:left="3" w:leftChars="1" w:firstLine="490" w:firstLineChars="200"/>
        <w:rPr>
          <w:rFonts w:hint="eastAsia" w:hAnsi="宋体" w:cs="宋体"/>
          <w:color w:val="auto"/>
          <w:sz w:val="24"/>
          <w:highlight w:val="none"/>
        </w:rPr>
      </w:pPr>
      <w:r>
        <w:rPr>
          <w:rFonts w:hint="eastAsia" w:hAnsi="宋体" w:cs="宋体"/>
          <w:color w:val="auto"/>
          <w:sz w:val="24"/>
          <w:highlight w:val="none"/>
        </w:rPr>
        <w:t>供应商的资格声明；（如适用）</w:t>
      </w:r>
    </w:p>
    <w:p>
      <w:pPr>
        <w:numPr>
          <w:ilvl w:val="0"/>
          <w:numId w:val="3"/>
        </w:numPr>
        <w:spacing w:line="400" w:lineRule="exact"/>
        <w:ind w:left="3" w:leftChars="1" w:firstLine="490" w:firstLineChars="200"/>
        <w:rPr>
          <w:rFonts w:hint="eastAsia" w:hAnsi="宋体" w:cs="宋体"/>
          <w:color w:val="auto"/>
          <w:sz w:val="24"/>
          <w:highlight w:val="none"/>
        </w:rPr>
      </w:pPr>
      <w:r>
        <w:rPr>
          <w:rFonts w:hint="eastAsia" w:hAnsi="宋体" w:cs="宋体"/>
          <w:color w:val="auto"/>
          <w:sz w:val="24"/>
          <w:highlight w:val="none"/>
        </w:rPr>
        <w:t>谈判文件第四章所要求提供的证明材料；</w:t>
      </w:r>
    </w:p>
    <w:p>
      <w:pPr>
        <w:numPr>
          <w:ilvl w:val="0"/>
          <w:numId w:val="3"/>
        </w:numPr>
        <w:spacing w:line="400" w:lineRule="exact"/>
        <w:ind w:left="3" w:leftChars="1" w:firstLine="490" w:firstLineChars="200"/>
        <w:rPr>
          <w:rFonts w:hint="eastAsia" w:hAnsi="宋体" w:cs="宋体"/>
          <w:color w:val="auto"/>
          <w:sz w:val="24"/>
          <w:highlight w:val="none"/>
        </w:rPr>
      </w:pPr>
      <w:r>
        <w:rPr>
          <w:rFonts w:hint="eastAsia" w:hAnsi="宋体" w:cs="宋体"/>
          <w:color w:val="auto"/>
          <w:sz w:val="24"/>
          <w:highlight w:val="none"/>
        </w:rPr>
        <w:t>供应商认为需要提供的文件和资料；</w:t>
      </w:r>
    </w:p>
    <w:p>
      <w:pPr>
        <w:spacing w:line="400" w:lineRule="exact"/>
        <w:ind w:firstLine="480"/>
        <w:rPr>
          <w:rFonts w:hint="eastAsia" w:hAnsi="宋体" w:cs="宋体"/>
          <w:color w:val="auto"/>
          <w:sz w:val="24"/>
          <w:highlight w:val="none"/>
        </w:rPr>
      </w:pPr>
      <w:r>
        <w:rPr>
          <w:rFonts w:hint="eastAsia" w:hAnsi="宋体" w:cs="宋体"/>
          <w:color w:val="auto"/>
          <w:sz w:val="24"/>
          <w:highlight w:val="none"/>
        </w:rPr>
        <w:t>13.2 其他响应文件：供应商须按谈判文件的要求编写其他响应文件，对谈判文件提出的要求和条件做出实质性响应。响应文件应包括但不限于下列内容：</w:t>
      </w:r>
    </w:p>
    <w:p>
      <w:pPr>
        <w:spacing w:line="400" w:lineRule="exact"/>
        <w:ind w:firstLine="480"/>
        <w:rPr>
          <w:rFonts w:hint="eastAsia" w:hAnsi="宋体" w:cs="宋体"/>
          <w:color w:val="auto"/>
          <w:sz w:val="24"/>
          <w:highlight w:val="none"/>
        </w:rPr>
      </w:pPr>
      <w:r>
        <w:rPr>
          <w:rFonts w:hint="eastAsia" w:hAnsi="宋体" w:cs="宋体"/>
          <w:color w:val="auto"/>
          <w:sz w:val="24"/>
          <w:highlight w:val="none"/>
        </w:rPr>
        <w:t>（1）谈判函；</w:t>
      </w:r>
    </w:p>
    <w:p>
      <w:pPr>
        <w:spacing w:line="400" w:lineRule="exact"/>
        <w:ind w:firstLine="480"/>
        <w:rPr>
          <w:rFonts w:hint="eastAsia" w:hAnsi="宋体" w:cs="宋体"/>
          <w:color w:val="auto"/>
          <w:sz w:val="24"/>
          <w:highlight w:val="none"/>
        </w:rPr>
      </w:pPr>
      <w:r>
        <w:rPr>
          <w:rFonts w:hint="eastAsia" w:hAnsi="宋体" w:cs="宋体"/>
          <w:color w:val="auto"/>
          <w:sz w:val="24"/>
          <w:highlight w:val="none"/>
        </w:rPr>
        <w:t>（2）报价表（</w:t>
      </w:r>
      <w:r>
        <w:rPr>
          <w:rFonts w:hint="eastAsia" w:hAnsi="宋体" w:cs="宋体"/>
          <w:b/>
          <w:bCs/>
          <w:color w:val="auto"/>
          <w:sz w:val="24"/>
          <w:szCs w:val="24"/>
          <w:highlight w:val="none"/>
        </w:rPr>
        <w:t>若响应文件中提供的报价与现场提供的不一致时，以现场提供的为准</w:t>
      </w:r>
      <w:r>
        <w:rPr>
          <w:rFonts w:hint="eastAsia" w:hAnsi="宋体" w:cs="宋体"/>
          <w:color w:val="auto"/>
          <w:sz w:val="24"/>
          <w:highlight w:val="none"/>
        </w:rPr>
        <w:t>）；</w:t>
      </w:r>
    </w:p>
    <w:p>
      <w:pPr>
        <w:spacing w:line="400" w:lineRule="exact"/>
        <w:ind w:firstLine="480"/>
        <w:rPr>
          <w:rFonts w:hint="eastAsia" w:hAnsi="宋体" w:cs="宋体"/>
          <w:color w:val="auto"/>
          <w:sz w:val="24"/>
          <w:highlight w:val="none"/>
        </w:rPr>
      </w:pPr>
      <w:r>
        <w:rPr>
          <w:rFonts w:hint="eastAsia" w:hAnsi="宋体" w:cs="宋体"/>
          <w:color w:val="auto"/>
          <w:sz w:val="24"/>
          <w:highlight w:val="none"/>
        </w:rPr>
        <w:t>（3）技术、服务、商务和合同重要条款响应偏离表；</w:t>
      </w:r>
    </w:p>
    <w:p>
      <w:pPr>
        <w:spacing w:line="400" w:lineRule="exact"/>
        <w:ind w:firstLine="480"/>
        <w:rPr>
          <w:rFonts w:hint="eastAsia" w:hAnsi="宋体" w:cs="宋体"/>
          <w:color w:val="auto"/>
          <w:sz w:val="24"/>
          <w:highlight w:val="none"/>
        </w:rPr>
      </w:pPr>
      <w:r>
        <w:rPr>
          <w:rFonts w:hint="eastAsia" w:hAnsi="宋体" w:cs="宋体"/>
          <w:color w:val="auto"/>
          <w:sz w:val="24"/>
          <w:highlight w:val="none"/>
        </w:rPr>
        <w:t>（4）供应商应按照谈判文件中售后服务要求作出的积极响应和有利于采购人的承诺；（如适用）</w:t>
      </w:r>
    </w:p>
    <w:p>
      <w:pPr>
        <w:spacing w:line="400" w:lineRule="exact"/>
        <w:ind w:firstLine="480"/>
        <w:rPr>
          <w:rFonts w:hint="eastAsia" w:hAnsi="宋体" w:cs="宋体"/>
          <w:color w:val="auto"/>
          <w:sz w:val="24"/>
          <w:highlight w:val="none"/>
        </w:rPr>
      </w:pPr>
      <w:r>
        <w:rPr>
          <w:rFonts w:hint="eastAsia" w:hAnsi="宋体" w:cs="宋体"/>
          <w:color w:val="auto"/>
          <w:sz w:val="24"/>
          <w:highlight w:val="none"/>
        </w:rPr>
        <w:t>（5）质量保证和售后服务承诺、服务计划等文件；（如适用）</w:t>
      </w:r>
    </w:p>
    <w:p>
      <w:pPr>
        <w:spacing w:line="400" w:lineRule="exact"/>
        <w:ind w:firstLine="480"/>
        <w:rPr>
          <w:rFonts w:hint="eastAsia" w:hAnsi="宋体" w:cs="宋体"/>
          <w:color w:val="auto"/>
          <w:sz w:val="24"/>
          <w:highlight w:val="none"/>
        </w:rPr>
      </w:pPr>
      <w:r>
        <w:rPr>
          <w:rFonts w:hint="eastAsia" w:hAnsi="宋体" w:cs="宋体"/>
          <w:color w:val="auto"/>
          <w:sz w:val="24"/>
          <w:highlight w:val="none"/>
        </w:rPr>
        <w:t>（6）供应商认为需要提供的文件和资料；</w:t>
      </w:r>
    </w:p>
    <w:p>
      <w:pPr>
        <w:spacing w:line="400" w:lineRule="exact"/>
        <w:ind w:firstLine="480"/>
        <w:rPr>
          <w:rFonts w:hint="eastAsia" w:hAnsi="宋体" w:cs="宋体"/>
          <w:color w:val="auto"/>
          <w:sz w:val="24"/>
          <w:highlight w:val="none"/>
        </w:rPr>
      </w:pPr>
      <w:r>
        <w:rPr>
          <w:rFonts w:hint="eastAsia" w:hAnsi="宋体" w:cs="宋体"/>
          <w:color w:val="auto"/>
          <w:sz w:val="24"/>
          <w:highlight w:val="none"/>
        </w:rPr>
        <w:t>（7）供应商按照谈判文件要求作出的其它应答和承诺。</w:t>
      </w:r>
    </w:p>
    <w:p>
      <w:pPr>
        <w:rPr>
          <w:rFonts w:hint="eastAsia" w:hAnsi="宋体" w:cs="宋体"/>
          <w:color w:val="auto"/>
          <w:highlight w:val="none"/>
        </w:rPr>
      </w:pPr>
    </w:p>
    <w:p>
      <w:pPr>
        <w:pStyle w:val="5"/>
        <w:keepNext w:val="0"/>
        <w:keepLines w:val="0"/>
        <w:spacing w:before="0" w:after="0" w:line="400" w:lineRule="exact"/>
        <w:ind w:firstLine="490" w:firstLineChars="200"/>
        <w:rPr>
          <w:rFonts w:hint="eastAsia" w:ascii="宋体" w:hAnsi="宋体" w:cs="宋体"/>
          <w:bCs w:val="0"/>
          <w:color w:val="auto"/>
          <w:sz w:val="24"/>
          <w:highlight w:val="none"/>
        </w:rPr>
      </w:pPr>
      <w:bookmarkStart w:id="90" w:name="_Toc4616444"/>
      <w:r>
        <w:rPr>
          <w:rFonts w:hint="eastAsia" w:ascii="宋体" w:hAnsi="宋体" w:cs="宋体"/>
          <w:bCs w:val="0"/>
          <w:color w:val="auto"/>
          <w:sz w:val="24"/>
          <w:highlight w:val="none"/>
        </w:rPr>
        <w:t>14.响应文件的语言</w:t>
      </w:r>
      <w:bookmarkEnd w:id="86"/>
      <w:bookmarkEnd w:id="87"/>
      <w:bookmarkEnd w:id="88"/>
      <w:r>
        <w:rPr>
          <w:rFonts w:hint="eastAsia" w:ascii="宋体" w:hAnsi="宋体" w:cs="宋体"/>
          <w:bCs w:val="0"/>
          <w:color w:val="auto"/>
          <w:sz w:val="24"/>
          <w:highlight w:val="none"/>
        </w:rPr>
        <w:t>（实质性要求）</w:t>
      </w:r>
      <w:bookmarkEnd w:id="90"/>
    </w:p>
    <w:p>
      <w:pPr>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14.1 供应商提交的响应文件以及供应商与采购人就有关报价的所有来往书面文件均须使用中文。响应文件中如附有外文资料，须逐一对应翻译成中文并加盖供应商公章后附在相关外文资料后面。（说明：供应商的法定代表人为外籍人士的，法定代表人的签字和护照除外。）</w:t>
      </w:r>
    </w:p>
    <w:p>
      <w:pPr>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14.2 翻译的中文资料与外文资料如果出现差异和矛盾，以中文为准。但不能故意错误翻译，否则，供应商的响应文件将作为无效处理。</w:t>
      </w:r>
    </w:p>
    <w:p>
      <w:pPr>
        <w:rPr>
          <w:rFonts w:hint="eastAsia" w:hAnsi="宋体" w:cs="宋体"/>
          <w:color w:val="auto"/>
          <w:highlight w:val="none"/>
        </w:rPr>
      </w:pPr>
      <w:bookmarkStart w:id="91" w:name="_Toc183682353"/>
      <w:bookmarkStart w:id="92" w:name="_Toc217446044"/>
      <w:bookmarkStart w:id="93" w:name="_Toc183582216"/>
    </w:p>
    <w:p>
      <w:pPr>
        <w:pStyle w:val="5"/>
        <w:keepNext w:val="0"/>
        <w:keepLines w:val="0"/>
        <w:spacing w:before="0" w:after="0" w:line="400" w:lineRule="exact"/>
        <w:ind w:firstLine="490" w:firstLineChars="200"/>
        <w:rPr>
          <w:rFonts w:hint="eastAsia" w:ascii="宋体" w:hAnsi="宋体" w:cs="宋体"/>
          <w:color w:val="auto"/>
          <w:sz w:val="24"/>
          <w:highlight w:val="none"/>
        </w:rPr>
      </w:pPr>
      <w:bookmarkStart w:id="94" w:name="_Toc4616445"/>
      <w:r>
        <w:rPr>
          <w:rFonts w:hint="eastAsia" w:ascii="宋体" w:hAnsi="宋体" w:cs="宋体"/>
          <w:color w:val="auto"/>
          <w:sz w:val="24"/>
          <w:highlight w:val="none"/>
        </w:rPr>
        <w:t>15.计量单位</w:t>
      </w:r>
      <w:bookmarkEnd w:id="91"/>
      <w:bookmarkEnd w:id="92"/>
      <w:bookmarkEnd w:id="93"/>
      <w:r>
        <w:rPr>
          <w:rFonts w:hint="eastAsia" w:ascii="宋体" w:hAnsi="宋体" w:cs="宋体"/>
          <w:color w:val="auto"/>
          <w:sz w:val="24"/>
          <w:highlight w:val="none"/>
        </w:rPr>
        <w:t>（实质性要求）</w:t>
      </w:r>
      <w:bookmarkEnd w:id="94"/>
    </w:p>
    <w:p>
      <w:pPr>
        <w:spacing w:line="400" w:lineRule="exact"/>
        <w:ind w:firstLine="479" w:firstLineChars="196"/>
        <w:rPr>
          <w:rFonts w:hint="eastAsia" w:hAnsi="宋体" w:cs="宋体"/>
          <w:color w:val="auto"/>
          <w:sz w:val="24"/>
          <w:highlight w:val="none"/>
        </w:rPr>
      </w:pPr>
      <w:r>
        <w:rPr>
          <w:rFonts w:hint="eastAsia" w:hAnsi="宋体" w:cs="宋体"/>
          <w:color w:val="auto"/>
          <w:sz w:val="24"/>
          <w:highlight w:val="none"/>
        </w:rPr>
        <w:t>除谈判文件中另有规定外，本次采购项目所有合同项下的报价均采用国家法定的计量单位。</w:t>
      </w:r>
    </w:p>
    <w:p>
      <w:pPr>
        <w:spacing w:line="400" w:lineRule="exact"/>
        <w:ind w:firstLine="477" w:firstLineChars="195"/>
        <w:outlineLvl w:val="2"/>
        <w:rPr>
          <w:rFonts w:hint="eastAsia" w:hAnsi="宋体" w:cs="宋体"/>
          <w:b/>
          <w:bCs/>
          <w:color w:val="auto"/>
          <w:sz w:val="24"/>
          <w:highlight w:val="none"/>
        </w:rPr>
      </w:pPr>
      <w:bookmarkStart w:id="95" w:name="_Toc4616446"/>
      <w:bookmarkStart w:id="96" w:name="_Toc217446045"/>
      <w:r>
        <w:rPr>
          <w:rFonts w:hint="eastAsia" w:hAnsi="宋体" w:cs="宋体"/>
          <w:b/>
          <w:bCs/>
          <w:color w:val="auto"/>
          <w:sz w:val="24"/>
          <w:highlight w:val="none"/>
        </w:rPr>
        <w:t>16.</w:t>
      </w:r>
      <w:r>
        <w:rPr>
          <w:rFonts w:hint="eastAsia" w:hAnsi="宋体" w:cs="宋体"/>
          <w:b/>
          <w:color w:val="auto"/>
          <w:sz w:val="24"/>
          <w:highlight w:val="none"/>
        </w:rPr>
        <w:t>报价要求</w:t>
      </w:r>
      <w:r>
        <w:rPr>
          <w:rFonts w:hint="eastAsia" w:hAnsi="宋体" w:cs="宋体"/>
          <w:b/>
          <w:bCs/>
          <w:color w:val="auto"/>
          <w:sz w:val="24"/>
          <w:highlight w:val="none"/>
        </w:rPr>
        <w:t>（实质性要求）</w:t>
      </w:r>
      <w:bookmarkEnd w:id="95"/>
    </w:p>
    <w:p>
      <w:pPr>
        <w:spacing w:line="400" w:lineRule="exact"/>
        <w:ind w:firstLine="477" w:firstLineChars="195"/>
        <w:rPr>
          <w:rFonts w:hint="eastAsia" w:hAnsi="宋体" w:cs="宋体"/>
          <w:bCs/>
          <w:color w:val="auto"/>
          <w:sz w:val="24"/>
          <w:highlight w:val="none"/>
        </w:rPr>
      </w:pPr>
      <w:r>
        <w:rPr>
          <w:rFonts w:hint="eastAsia" w:hAnsi="宋体" w:cs="宋体"/>
          <w:bCs/>
          <w:color w:val="auto"/>
          <w:sz w:val="24"/>
          <w:highlight w:val="none"/>
        </w:rPr>
        <w:t>16.1本次谈判项目的</w:t>
      </w:r>
      <w:r>
        <w:rPr>
          <w:rFonts w:hint="eastAsia" w:hAnsi="宋体" w:cs="宋体"/>
          <w:color w:val="auto"/>
          <w:sz w:val="24"/>
          <w:highlight w:val="none"/>
        </w:rPr>
        <w:t>报价货币为</w:t>
      </w:r>
      <w:r>
        <w:rPr>
          <w:rFonts w:hint="eastAsia" w:hAnsi="宋体" w:cs="宋体"/>
          <w:bCs/>
          <w:color w:val="auto"/>
          <w:sz w:val="24"/>
          <w:highlight w:val="none"/>
        </w:rPr>
        <w:t>人民币，报价以谈判文件规定为准。</w:t>
      </w:r>
    </w:p>
    <w:p>
      <w:pPr>
        <w:spacing w:line="400" w:lineRule="exact"/>
        <w:ind w:firstLine="477" w:firstLineChars="195"/>
        <w:rPr>
          <w:rFonts w:hint="eastAsia" w:hAnsi="宋体" w:cs="宋体"/>
          <w:bCs/>
          <w:color w:val="auto"/>
          <w:sz w:val="24"/>
          <w:highlight w:val="none"/>
        </w:rPr>
      </w:pPr>
      <w:r>
        <w:rPr>
          <w:rFonts w:hint="eastAsia" w:hAnsi="宋体" w:cs="宋体"/>
          <w:bCs/>
          <w:color w:val="auto"/>
          <w:sz w:val="24"/>
          <w:highlight w:val="none"/>
        </w:rPr>
        <w:t>16.2 供应商在响应文件中可不提供报价，在谈判现场由评审委员会通知现场报价（最后报价表格式由采购</w:t>
      </w:r>
      <w:r>
        <w:rPr>
          <w:rFonts w:hint="eastAsia" w:hAnsi="宋体" w:cs="宋体"/>
          <w:bCs/>
          <w:color w:val="auto"/>
          <w:sz w:val="24"/>
          <w:highlight w:val="none"/>
          <w:lang w:eastAsia="zh-CN"/>
        </w:rPr>
        <w:t>人</w:t>
      </w:r>
      <w:r>
        <w:rPr>
          <w:rFonts w:hint="eastAsia" w:hAnsi="宋体" w:cs="宋体"/>
          <w:bCs/>
          <w:color w:val="auto"/>
          <w:sz w:val="24"/>
          <w:highlight w:val="none"/>
        </w:rPr>
        <w:t>现场提供，格式详见第七章）。</w:t>
      </w:r>
      <w:r>
        <w:rPr>
          <w:rFonts w:hint="eastAsia" w:hAnsi="宋体" w:cs="宋体"/>
          <w:b/>
          <w:bCs/>
          <w:color w:val="auto"/>
          <w:sz w:val="24"/>
          <w:szCs w:val="24"/>
          <w:highlight w:val="none"/>
        </w:rPr>
        <w:t>若响应文件中提供的报价与现场提供的不一致时，以现场提供的为准。</w:t>
      </w:r>
    </w:p>
    <w:p>
      <w:pPr>
        <w:spacing w:line="400" w:lineRule="exact"/>
        <w:ind w:firstLine="477" w:firstLineChars="195"/>
        <w:rPr>
          <w:rFonts w:hint="eastAsia" w:hAnsi="宋体" w:cs="宋体"/>
          <w:bCs/>
          <w:color w:val="auto"/>
          <w:sz w:val="24"/>
          <w:highlight w:val="none"/>
        </w:rPr>
      </w:pPr>
      <w:r>
        <w:rPr>
          <w:rFonts w:hint="eastAsia" w:hAnsi="宋体" w:cs="宋体"/>
          <w:bCs/>
          <w:color w:val="auto"/>
          <w:sz w:val="24"/>
          <w:highlight w:val="none"/>
        </w:rPr>
        <w:t>16.3本次谈判采购最后报价采用现场报价，通过资格审查及有效性审查的供应商按谈判小组要求进行报价。</w:t>
      </w:r>
    </w:p>
    <w:p>
      <w:pPr>
        <w:spacing w:line="400" w:lineRule="exact"/>
        <w:ind w:firstLine="477" w:firstLineChars="195"/>
        <w:rPr>
          <w:rFonts w:hint="eastAsia" w:hAnsi="宋体" w:cs="宋体"/>
          <w:bCs/>
          <w:color w:val="auto"/>
          <w:sz w:val="24"/>
          <w:highlight w:val="none"/>
        </w:rPr>
      </w:pPr>
      <w:r>
        <w:rPr>
          <w:rFonts w:hint="eastAsia" w:hAnsi="宋体" w:cs="宋体"/>
          <w:bCs/>
          <w:color w:val="auto"/>
          <w:sz w:val="24"/>
          <w:highlight w:val="none"/>
        </w:rPr>
        <w:t>16.4供应商报价（包括最后报价）应为完成本竞争性谈判文件中所要求的服务所应包括内容的所有价格。</w:t>
      </w:r>
    </w:p>
    <w:p>
      <w:pPr>
        <w:spacing w:line="400" w:lineRule="exact"/>
        <w:ind w:firstLine="477" w:firstLineChars="195"/>
        <w:rPr>
          <w:rFonts w:hint="eastAsia" w:hAnsi="宋体" w:cs="宋体"/>
          <w:bCs/>
          <w:color w:val="auto"/>
          <w:sz w:val="24"/>
          <w:highlight w:val="none"/>
        </w:rPr>
      </w:pPr>
      <w:r>
        <w:rPr>
          <w:rFonts w:hint="eastAsia" w:hAnsi="宋体" w:cs="宋体"/>
          <w:bCs/>
          <w:color w:val="auto"/>
          <w:sz w:val="24"/>
          <w:highlight w:val="none"/>
        </w:rPr>
        <w:t>16.5成交供应商的成交价是以最后报价表的报价为准，并以此作为结算的依据。</w:t>
      </w:r>
    </w:p>
    <w:p>
      <w:pPr>
        <w:spacing w:line="400" w:lineRule="exact"/>
        <w:ind w:left="241" w:leftChars="70" w:firstLine="232" w:firstLineChars="95"/>
        <w:rPr>
          <w:rFonts w:hint="eastAsia" w:hAnsi="宋体" w:cs="宋体"/>
          <w:color w:val="auto"/>
          <w:sz w:val="24"/>
          <w:highlight w:val="none"/>
        </w:rPr>
      </w:pPr>
      <w:r>
        <w:rPr>
          <w:rFonts w:hint="eastAsia" w:hAnsi="宋体" w:cs="宋体"/>
          <w:bCs/>
          <w:color w:val="auto"/>
          <w:sz w:val="24"/>
          <w:highlight w:val="none"/>
        </w:rPr>
        <w:t>16.6</w:t>
      </w:r>
      <w:r>
        <w:rPr>
          <w:rFonts w:hint="eastAsia" w:hAnsi="宋体" w:cs="宋体"/>
          <w:color w:val="auto"/>
          <w:sz w:val="24"/>
          <w:highlight w:val="none"/>
        </w:rPr>
        <w:t>谈判人在每一次报价时只允许有一个报价，任何有选择或可调整的报价将不予接受，并按无效谈判处理。</w:t>
      </w:r>
    </w:p>
    <w:p>
      <w:pPr>
        <w:rPr>
          <w:rFonts w:hint="eastAsia" w:hAnsi="宋体" w:cs="宋体"/>
          <w:color w:val="auto"/>
          <w:highlight w:val="none"/>
        </w:rPr>
      </w:pPr>
    </w:p>
    <w:p>
      <w:pPr>
        <w:spacing w:line="400" w:lineRule="exact"/>
        <w:ind w:left="3" w:leftChars="1" w:firstLine="490" w:firstLineChars="200"/>
        <w:outlineLvl w:val="2"/>
        <w:rPr>
          <w:rFonts w:hAnsi="宋体" w:cs="宋体"/>
          <w:b/>
          <w:bCs/>
          <w:color w:val="auto"/>
          <w:sz w:val="24"/>
          <w:szCs w:val="22"/>
          <w:highlight w:val="none"/>
        </w:rPr>
      </w:pPr>
      <w:bookmarkStart w:id="97" w:name="_Toc4616447"/>
      <w:r>
        <w:rPr>
          <w:rFonts w:hint="eastAsia" w:hAnsi="宋体" w:cs="宋体"/>
          <w:b/>
          <w:bCs/>
          <w:color w:val="auto"/>
          <w:sz w:val="24"/>
          <w:szCs w:val="22"/>
          <w:highlight w:val="none"/>
        </w:rPr>
        <w:t>17.报价其他注意事项</w:t>
      </w:r>
      <w:bookmarkEnd w:id="97"/>
    </w:p>
    <w:p>
      <w:pPr>
        <w:pStyle w:val="6"/>
        <w:ind w:firstLine="490"/>
        <w:rPr>
          <w:rFonts w:hint="eastAsia" w:ascii="宋体" w:hAnsi="宋体" w:cs="宋体"/>
          <w:color w:val="auto"/>
          <w:sz w:val="24"/>
          <w:highlight w:val="none"/>
        </w:rPr>
      </w:pPr>
      <w:r>
        <w:rPr>
          <w:rFonts w:hint="eastAsia" w:ascii="宋体" w:hAnsi="宋体" w:cs="宋体"/>
          <w:color w:val="auto"/>
          <w:sz w:val="24"/>
          <w:highlight w:val="none"/>
        </w:rPr>
        <w:t>本次竞争性谈判文件内容，由供应商参照谈判文件的要求进行报价。除合同条款中确定遇不可抗力因素外，在项目实施过程中发生的一切事故、问题和可能发生的费用均由供应商自行负责。总报价应包括为完成本项目所发生的所有费用，并承担一切风险责任。</w:t>
      </w:r>
    </w:p>
    <w:p>
      <w:pPr>
        <w:spacing w:line="400" w:lineRule="exact"/>
        <w:ind w:firstLine="477" w:firstLineChars="195"/>
        <w:rPr>
          <w:rFonts w:hint="eastAsia" w:hAnsi="宋体" w:cs="宋体"/>
          <w:b/>
          <w:bCs/>
          <w:color w:val="auto"/>
          <w:sz w:val="24"/>
          <w:highlight w:val="none"/>
        </w:rPr>
      </w:pPr>
    </w:p>
    <w:bookmarkEnd w:id="96"/>
    <w:p>
      <w:pPr>
        <w:spacing w:line="400" w:lineRule="exact"/>
        <w:ind w:left="3" w:leftChars="1" w:firstLine="490" w:firstLineChars="200"/>
        <w:outlineLvl w:val="2"/>
        <w:rPr>
          <w:rFonts w:hint="eastAsia" w:hAnsi="宋体" w:cs="宋体"/>
          <w:b/>
          <w:color w:val="auto"/>
          <w:sz w:val="24"/>
          <w:highlight w:val="none"/>
        </w:rPr>
      </w:pPr>
      <w:bookmarkStart w:id="98" w:name="_Toc4616448"/>
      <w:r>
        <w:rPr>
          <w:rFonts w:hint="eastAsia" w:hAnsi="宋体" w:cs="宋体"/>
          <w:b/>
          <w:color w:val="auto"/>
          <w:sz w:val="24"/>
          <w:highlight w:val="none"/>
        </w:rPr>
        <w:t>18.响应文件格式</w:t>
      </w:r>
      <w:bookmarkEnd w:id="98"/>
    </w:p>
    <w:p>
      <w:pPr>
        <w:spacing w:line="400" w:lineRule="exact"/>
        <w:ind w:left="3" w:leftChars="1" w:firstLine="490" w:firstLineChars="200"/>
        <w:rPr>
          <w:rFonts w:hint="eastAsia" w:hAnsi="宋体" w:cs="宋体"/>
          <w:color w:val="auto"/>
          <w:sz w:val="24"/>
          <w:highlight w:val="none"/>
        </w:rPr>
      </w:pPr>
      <w:r>
        <w:rPr>
          <w:rFonts w:hint="eastAsia" w:hAnsi="宋体" w:cs="宋体"/>
          <w:color w:val="auto"/>
          <w:sz w:val="24"/>
          <w:highlight w:val="none"/>
        </w:rPr>
        <w:t>18.1 供应商应执行谈判文件第七章的规定要求。</w:t>
      </w:r>
    </w:p>
    <w:p>
      <w:pPr>
        <w:spacing w:line="400" w:lineRule="exact"/>
        <w:ind w:left="3" w:leftChars="1" w:firstLine="490" w:firstLineChars="200"/>
        <w:rPr>
          <w:rFonts w:hint="eastAsia" w:hAnsi="宋体" w:cs="宋体"/>
          <w:color w:val="auto"/>
          <w:sz w:val="24"/>
          <w:highlight w:val="none"/>
        </w:rPr>
      </w:pPr>
      <w:r>
        <w:rPr>
          <w:rFonts w:hint="eastAsia" w:hAnsi="宋体" w:cs="宋体"/>
          <w:color w:val="auto"/>
          <w:sz w:val="24"/>
          <w:highlight w:val="none"/>
        </w:rPr>
        <w:t>18.2 对于没有格式要求的谈判文件由供应商自行编写。</w:t>
      </w:r>
    </w:p>
    <w:p>
      <w:pPr>
        <w:spacing w:line="400" w:lineRule="exact"/>
        <w:ind w:firstLine="479" w:firstLineChars="196"/>
        <w:rPr>
          <w:rFonts w:hint="eastAsia" w:hAnsi="宋体" w:cs="宋体"/>
          <w:color w:val="auto"/>
          <w:sz w:val="24"/>
          <w:highlight w:val="none"/>
        </w:rPr>
      </w:pPr>
      <w:bookmarkStart w:id="99" w:name="_Toc217446051"/>
      <w:bookmarkStart w:id="100" w:name="_Toc183582224"/>
      <w:bookmarkStart w:id="101" w:name="_Toc183682361"/>
    </w:p>
    <w:p>
      <w:pPr>
        <w:spacing w:line="400" w:lineRule="exact"/>
        <w:ind w:left="3" w:leftChars="1" w:firstLine="490" w:firstLineChars="200"/>
        <w:outlineLvl w:val="2"/>
        <w:rPr>
          <w:rFonts w:hint="eastAsia" w:hAnsi="宋体" w:cs="宋体"/>
          <w:b/>
          <w:color w:val="auto"/>
          <w:sz w:val="24"/>
          <w:szCs w:val="22"/>
          <w:highlight w:val="none"/>
        </w:rPr>
      </w:pPr>
      <w:bookmarkStart w:id="102" w:name="_Toc4616449"/>
      <w:r>
        <w:rPr>
          <w:rFonts w:hint="eastAsia" w:hAnsi="宋体" w:cs="宋体"/>
          <w:b/>
          <w:color w:val="auto"/>
          <w:sz w:val="24"/>
          <w:szCs w:val="22"/>
          <w:highlight w:val="none"/>
        </w:rPr>
        <w:t>19.响应文件的编制和签署</w:t>
      </w:r>
      <w:bookmarkEnd w:id="102"/>
    </w:p>
    <w:p>
      <w:pPr>
        <w:spacing w:line="400" w:lineRule="exact"/>
        <w:rPr>
          <w:rFonts w:hint="eastAsia" w:hAnsi="宋体" w:cs="宋体"/>
          <w:color w:val="auto"/>
          <w:highlight w:val="none"/>
        </w:rPr>
      </w:pPr>
      <w:r>
        <w:rPr>
          <w:rFonts w:hint="eastAsia" w:hAnsi="宋体" w:cs="宋体"/>
          <w:bCs/>
          <w:color w:val="auto"/>
          <w:sz w:val="24"/>
          <w:highlight w:val="none"/>
        </w:rPr>
        <w:t xml:space="preserve">    19.1 响应文件分资格、资质性及其他类似效力响应文件、其他响应文件两部分，分册装订。</w:t>
      </w:r>
    </w:p>
    <w:p>
      <w:pPr>
        <w:spacing w:line="400" w:lineRule="exact"/>
        <w:ind w:firstLine="479" w:firstLineChars="196"/>
        <w:rPr>
          <w:rFonts w:hint="eastAsia" w:hAnsi="宋体" w:cs="宋体"/>
          <w:color w:val="auto"/>
          <w:sz w:val="24"/>
          <w:highlight w:val="none"/>
        </w:rPr>
      </w:pPr>
      <w:r>
        <w:rPr>
          <w:rFonts w:hint="eastAsia" w:hAnsi="宋体" w:cs="宋体"/>
          <w:color w:val="auto"/>
          <w:sz w:val="24"/>
          <w:highlight w:val="none"/>
        </w:rPr>
        <w:t>19.2 响应文件正本1份副本2份</w:t>
      </w:r>
      <w:r>
        <w:rPr>
          <w:rFonts w:hint="eastAsia" w:hAnsi="宋体" w:cs="宋体"/>
          <w:b/>
          <w:bCs/>
          <w:color w:val="auto"/>
          <w:sz w:val="24"/>
          <w:highlight w:val="none"/>
        </w:rPr>
        <w:t>（实质性要求）</w:t>
      </w:r>
      <w:r>
        <w:rPr>
          <w:rFonts w:hint="eastAsia" w:hAnsi="宋体" w:cs="宋体"/>
          <w:color w:val="auto"/>
          <w:sz w:val="24"/>
          <w:highlight w:val="none"/>
        </w:rPr>
        <w:t>，</w:t>
      </w:r>
      <w:r>
        <w:rPr>
          <w:rFonts w:hint="eastAsia" w:hAnsi="宋体" w:cs="宋体"/>
          <w:color w:val="auto"/>
          <w:sz w:val="24"/>
          <w:szCs w:val="24"/>
          <w:highlight w:val="none"/>
        </w:rPr>
        <w:t>电子文档一份(U盘)</w:t>
      </w:r>
      <w:r>
        <w:rPr>
          <w:rFonts w:hint="eastAsia" w:hAnsi="宋体" w:cs="宋体"/>
          <w:color w:val="auto"/>
          <w:sz w:val="24"/>
          <w:highlight w:val="none"/>
        </w:rPr>
        <w:t>，并在其封面上清楚地标明采购项目名称、采购项目编号、包件号及名称（若有）、供应商名称以及“正本”或“副本”字样。若正本和副本有不一致的内容，以正本书面响应文件为准。</w:t>
      </w:r>
    </w:p>
    <w:bookmarkEnd w:id="99"/>
    <w:bookmarkEnd w:id="100"/>
    <w:bookmarkEnd w:id="101"/>
    <w:p>
      <w:pPr>
        <w:tabs>
          <w:tab w:val="left" w:pos="1095"/>
        </w:tabs>
        <w:spacing w:line="400" w:lineRule="exact"/>
        <w:ind w:firstLine="469" w:firstLineChars="192"/>
        <w:rPr>
          <w:rFonts w:hint="eastAsia" w:hAnsi="宋体" w:cs="宋体"/>
          <w:color w:val="auto"/>
          <w:sz w:val="24"/>
          <w:highlight w:val="none"/>
        </w:rPr>
      </w:pPr>
      <w:r>
        <w:rPr>
          <w:rFonts w:hint="eastAsia" w:hAnsi="宋体" w:cs="宋体"/>
          <w:color w:val="auto"/>
          <w:sz w:val="24"/>
          <w:highlight w:val="none"/>
        </w:rPr>
        <w:t>19.3 响应文件正本和副本均需打印或用不褪色、不变质的墨水书写，并在规定签章处签字和盖章。响应文件副本可采用正本的复印件，电子文档采用U盘制作。</w:t>
      </w:r>
    </w:p>
    <w:p>
      <w:pPr>
        <w:tabs>
          <w:tab w:val="left" w:pos="1095"/>
        </w:tabs>
        <w:spacing w:line="400" w:lineRule="exact"/>
        <w:ind w:firstLine="469" w:firstLineChars="192"/>
        <w:rPr>
          <w:rFonts w:hint="eastAsia" w:hAnsi="宋体" w:cs="宋体"/>
          <w:color w:val="auto"/>
          <w:sz w:val="24"/>
          <w:highlight w:val="none"/>
        </w:rPr>
      </w:pPr>
      <w:r>
        <w:rPr>
          <w:rFonts w:hint="eastAsia" w:hAnsi="宋体" w:cs="宋体"/>
          <w:color w:val="auto"/>
          <w:sz w:val="24"/>
          <w:highlight w:val="none"/>
        </w:rPr>
        <w:t>19.4响应文件的打印和书写应清楚工整，任何行间插字、涂改或增删，必须由供应商的法定代表人或其授权代表签字并盖供应商公章。字迹潦草、表达不清或可能导致非唯一理解的响应文件可能被作为无效处理。</w:t>
      </w:r>
    </w:p>
    <w:p>
      <w:pPr>
        <w:tabs>
          <w:tab w:val="left" w:pos="1080"/>
        </w:tabs>
        <w:spacing w:line="400" w:lineRule="exact"/>
        <w:ind w:firstLine="469" w:firstLineChars="192"/>
        <w:rPr>
          <w:rFonts w:hint="eastAsia" w:hAnsi="宋体" w:cs="宋体"/>
          <w:color w:val="auto"/>
          <w:sz w:val="24"/>
          <w:highlight w:val="none"/>
        </w:rPr>
      </w:pPr>
      <w:r>
        <w:rPr>
          <w:rFonts w:hint="eastAsia" w:hAnsi="宋体" w:cs="宋体"/>
          <w:color w:val="auto"/>
          <w:sz w:val="24"/>
          <w:highlight w:val="none"/>
        </w:rPr>
        <w:t>19.5响应文件应由供应商法定代表人/主要负责人/本人或其授权代表在响应文件要求的地方签字（或加盖私人印章），要求加盖公章的地方加盖单位公章，不得使用专用章（如经济合同章、谈判专用章等）或下属单位印章代替。</w:t>
      </w:r>
    </w:p>
    <w:p>
      <w:pPr>
        <w:tabs>
          <w:tab w:val="left" w:pos="1080"/>
        </w:tabs>
        <w:spacing w:line="400" w:lineRule="exact"/>
        <w:ind w:firstLine="469" w:firstLineChars="192"/>
        <w:rPr>
          <w:rFonts w:hint="eastAsia" w:hAnsi="宋体" w:cs="宋体"/>
          <w:color w:val="auto"/>
          <w:sz w:val="24"/>
          <w:highlight w:val="none"/>
        </w:rPr>
      </w:pPr>
      <w:r>
        <w:rPr>
          <w:rFonts w:hint="eastAsia" w:hAnsi="宋体" w:cs="宋体"/>
          <w:color w:val="auto"/>
          <w:sz w:val="24"/>
          <w:highlight w:val="none"/>
        </w:rPr>
        <w:t>19.6响应文件正本和副本需要编目编码。</w:t>
      </w:r>
    </w:p>
    <w:p>
      <w:pPr>
        <w:tabs>
          <w:tab w:val="left" w:pos="1080"/>
        </w:tabs>
        <w:spacing w:line="400" w:lineRule="exact"/>
        <w:ind w:firstLine="469" w:firstLineChars="192"/>
        <w:rPr>
          <w:rFonts w:hint="eastAsia" w:hAnsi="宋体" w:cs="宋体"/>
          <w:color w:val="auto"/>
          <w:sz w:val="24"/>
          <w:highlight w:val="none"/>
        </w:rPr>
      </w:pPr>
      <w:r>
        <w:rPr>
          <w:rFonts w:hint="eastAsia" w:hAnsi="宋体" w:cs="宋体"/>
          <w:color w:val="auto"/>
          <w:sz w:val="24"/>
          <w:highlight w:val="none"/>
        </w:rPr>
        <w:t>19.7响应文件的正本和副本应当采取装订成册，不得散装或者合页装订。</w:t>
      </w:r>
      <w:r>
        <w:rPr>
          <w:rFonts w:hint="eastAsia" w:hAnsi="宋体" w:cs="宋体"/>
          <w:color w:val="auto"/>
          <w:sz w:val="24"/>
          <w:szCs w:val="22"/>
          <w:highlight w:val="none"/>
        </w:rPr>
        <w:t>参照《关于促进政府采购公平竞争优化营商环境的通知》（财库〔2019〕38号）不得因装订、纸张、文件排序等非实质性的格式、形式问题限制和影响供应商谈判。</w:t>
      </w:r>
    </w:p>
    <w:p>
      <w:pPr>
        <w:tabs>
          <w:tab w:val="left" w:pos="1080"/>
        </w:tabs>
        <w:spacing w:line="400" w:lineRule="exact"/>
        <w:ind w:firstLine="469" w:firstLineChars="192"/>
        <w:rPr>
          <w:rFonts w:hint="eastAsia" w:hAnsi="宋体" w:cs="宋体"/>
          <w:color w:val="auto"/>
          <w:highlight w:val="none"/>
        </w:rPr>
      </w:pPr>
      <w:r>
        <w:rPr>
          <w:rFonts w:hint="eastAsia" w:hAnsi="宋体" w:cs="宋体"/>
          <w:color w:val="auto"/>
          <w:sz w:val="24"/>
          <w:highlight w:val="none"/>
        </w:rPr>
        <w:t>19.8响应文件正本和副本统一用A4幅面纸印制（图、表及证件可以除外）。</w:t>
      </w:r>
    </w:p>
    <w:p>
      <w:pPr>
        <w:tabs>
          <w:tab w:val="left" w:pos="1080"/>
        </w:tabs>
        <w:spacing w:line="400" w:lineRule="exact"/>
        <w:ind w:firstLine="469" w:firstLineChars="192"/>
        <w:rPr>
          <w:rFonts w:hint="eastAsia" w:hAnsi="宋体" w:cs="宋体"/>
          <w:color w:val="auto"/>
          <w:sz w:val="24"/>
          <w:highlight w:val="none"/>
        </w:rPr>
      </w:pPr>
      <w:r>
        <w:rPr>
          <w:rFonts w:hint="eastAsia" w:hAnsi="宋体" w:cs="宋体"/>
          <w:color w:val="auto"/>
          <w:sz w:val="24"/>
          <w:highlight w:val="none"/>
        </w:rPr>
        <w:t>19.9</w:t>
      </w:r>
      <w:r>
        <w:rPr>
          <w:rFonts w:hint="eastAsia" w:hAnsi="宋体" w:cs="宋体"/>
          <w:b/>
          <w:color w:val="auto"/>
          <w:sz w:val="24"/>
          <w:highlight w:val="none"/>
        </w:rPr>
        <w:t>（实质性要求）</w:t>
      </w:r>
      <w:r>
        <w:rPr>
          <w:rFonts w:hint="eastAsia" w:hAnsi="宋体" w:cs="宋体"/>
          <w:color w:val="auto"/>
          <w:sz w:val="24"/>
          <w:highlight w:val="none"/>
        </w:rPr>
        <w:t>响应文件应根据谈判文件的要求制作，签署、盖章。（参照《四川省政府采购评审工作规程（修订）》规范）</w:t>
      </w:r>
    </w:p>
    <w:p>
      <w:pPr>
        <w:tabs>
          <w:tab w:val="left" w:pos="1080"/>
        </w:tabs>
        <w:spacing w:line="400" w:lineRule="exact"/>
        <w:ind w:firstLine="469" w:firstLineChars="192"/>
        <w:rPr>
          <w:rFonts w:hint="eastAsia" w:hAnsi="宋体" w:cs="宋体"/>
          <w:b/>
          <w:color w:val="auto"/>
          <w:sz w:val="24"/>
          <w:highlight w:val="none"/>
        </w:rPr>
      </w:pPr>
    </w:p>
    <w:p>
      <w:pPr>
        <w:tabs>
          <w:tab w:val="left" w:pos="1080"/>
        </w:tabs>
        <w:spacing w:line="400" w:lineRule="exact"/>
        <w:ind w:firstLine="469" w:firstLineChars="192"/>
        <w:outlineLvl w:val="2"/>
        <w:rPr>
          <w:rFonts w:hint="eastAsia" w:hAnsi="宋体" w:cs="宋体"/>
          <w:b/>
          <w:color w:val="auto"/>
          <w:sz w:val="24"/>
          <w:highlight w:val="none"/>
        </w:rPr>
      </w:pPr>
      <w:bookmarkStart w:id="103" w:name="_Toc4616450"/>
      <w:bookmarkStart w:id="104" w:name="_Toc183582226"/>
      <w:bookmarkStart w:id="105" w:name="_Toc217446053"/>
      <w:bookmarkStart w:id="106" w:name="_Toc89075877"/>
      <w:bookmarkStart w:id="107" w:name="_Toc77400781"/>
      <w:bookmarkStart w:id="108" w:name="_Toc183682363"/>
      <w:r>
        <w:rPr>
          <w:rFonts w:hint="eastAsia" w:hAnsi="宋体" w:cs="宋体"/>
          <w:b/>
          <w:color w:val="auto"/>
          <w:sz w:val="24"/>
          <w:highlight w:val="none"/>
        </w:rPr>
        <w:t>20.响应文件的密封和标注（不属于本项目谈判小组评审范畴，由采购</w:t>
      </w:r>
      <w:r>
        <w:rPr>
          <w:rFonts w:hint="eastAsia" w:hAnsi="宋体" w:cs="宋体"/>
          <w:b/>
          <w:color w:val="auto"/>
          <w:sz w:val="24"/>
          <w:highlight w:val="none"/>
          <w:lang w:eastAsia="zh-CN"/>
        </w:rPr>
        <w:t>人</w:t>
      </w:r>
      <w:r>
        <w:rPr>
          <w:rFonts w:hint="eastAsia" w:hAnsi="宋体" w:cs="宋体"/>
          <w:b/>
          <w:color w:val="auto"/>
          <w:sz w:val="24"/>
          <w:highlight w:val="none"/>
        </w:rPr>
        <w:t>在接收响应文件时及时处理）</w:t>
      </w:r>
      <w:bookmarkEnd w:id="103"/>
    </w:p>
    <w:p>
      <w:pPr>
        <w:tabs>
          <w:tab w:val="left" w:pos="1080"/>
        </w:tabs>
        <w:spacing w:line="400" w:lineRule="exact"/>
        <w:ind w:firstLine="469" w:firstLineChars="192"/>
        <w:rPr>
          <w:rFonts w:hint="eastAsia" w:hAnsi="宋体" w:cs="宋体"/>
          <w:color w:val="auto"/>
          <w:sz w:val="24"/>
          <w:highlight w:val="none"/>
        </w:rPr>
      </w:pPr>
      <w:r>
        <w:rPr>
          <w:rFonts w:hint="eastAsia" w:hAnsi="宋体" w:cs="宋体"/>
          <w:color w:val="auto"/>
          <w:sz w:val="24"/>
          <w:highlight w:val="none"/>
        </w:rPr>
        <w:t>20.1 响应文件可以单独密封包装，也可以所有响应文件密封包装在一个密封袋内。</w:t>
      </w:r>
    </w:p>
    <w:p>
      <w:pPr>
        <w:tabs>
          <w:tab w:val="left" w:pos="1080"/>
        </w:tabs>
        <w:spacing w:line="400" w:lineRule="exact"/>
        <w:ind w:firstLine="469" w:firstLineChars="192"/>
        <w:rPr>
          <w:rFonts w:hint="eastAsia" w:hAnsi="宋体" w:cs="宋体"/>
          <w:color w:val="auto"/>
          <w:sz w:val="24"/>
          <w:highlight w:val="none"/>
        </w:rPr>
      </w:pPr>
      <w:r>
        <w:rPr>
          <w:rFonts w:hint="eastAsia" w:hAnsi="宋体" w:cs="宋体"/>
          <w:color w:val="auto"/>
          <w:sz w:val="24"/>
          <w:highlight w:val="none"/>
        </w:rPr>
        <w:t>20.2 响应文件密封袋的最外层应清楚地标明采购项目名称、采购项目编号、包件号及名称（若有）、供应商名称。</w:t>
      </w:r>
    </w:p>
    <w:p>
      <w:pPr>
        <w:tabs>
          <w:tab w:val="left" w:pos="1080"/>
        </w:tabs>
        <w:spacing w:line="400" w:lineRule="exact"/>
        <w:ind w:firstLine="469" w:firstLineChars="192"/>
        <w:rPr>
          <w:rFonts w:hint="eastAsia" w:hAnsi="宋体" w:cs="宋体"/>
          <w:color w:val="auto"/>
          <w:sz w:val="24"/>
          <w:highlight w:val="none"/>
        </w:rPr>
      </w:pPr>
      <w:r>
        <w:rPr>
          <w:rFonts w:hint="eastAsia" w:hAnsi="宋体" w:cs="宋体"/>
          <w:color w:val="auto"/>
          <w:sz w:val="24"/>
          <w:highlight w:val="none"/>
        </w:rPr>
        <w:t>20.3 所有外层密封袋的封口处应粘贴牢固。</w:t>
      </w:r>
    </w:p>
    <w:p>
      <w:pPr>
        <w:tabs>
          <w:tab w:val="left" w:pos="1080"/>
        </w:tabs>
        <w:spacing w:line="400" w:lineRule="exact"/>
        <w:ind w:firstLine="469" w:firstLineChars="192"/>
        <w:rPr>
          <w:rFonts w:hint="eastAsia" w:hAnsi="宋体" w:cs="宋体"/>
          <w:color w:val="auto"/>
          <w:sz w:val="24"/>
          <w:highlight w:val="none"/>
        </w:rPr>
      </w:pPr>
      <w:r>
        <w:rPr>
          <w:rFonts w:hint="eastAsia" w:hAnsi="宋体" w:cs="宋体"/>
          <w:color w:val="auto"/>
          <w:sz w:val="24"/>
          <w:highlight w:val="none"/>
        </w:rPr>
        <w:t>20.4 未按以上要求进行密封的响应文件，采购人将拒收或者在时间允许的范围内，要求修改完善后接收。</w:t>
      </w:r>
    </w:p>
    <w:p>
      <w:pPr>
        <w:tabs>
          <w:tab w:val="left" w:pos="1080"/>
        </w:tabs>
        <w:spacing w:line="400" w:lineRule="exact"/>
        <w:ind w:firstLine="469" w:firstLineChars="192"/>
        <w:outlineLvl w:val="2"/>
        <w:rPr>
          <w:rFonts w:hint="eastAsia" w:hAnsi="宋体" w:cs="宋体"/>
          <w:b/>
          <w:color w:val="auto"/>
          <w:sz w:val="24"/>
          <w:highlight w:val="none"/>
        </w:rPr>
      </w:pPr>
      <w:bookmarkStart w:id="109" w:name="_Toc4616451"/>
      <w:r>
        <w:rPr>
          <w:rFonts w:hint="eastAsia" w:hAnsi="宋体" w:cs="宋体"/>
          <w:b/>
          <w:color w:val="auto"/>
          <w:sz w:val="24"/>
          <w:highlight w:val="none"/>
        </w:rPr>
        <w:t>21.响应文件的递交</w:t>
      </w:r>
      <w:bookmarkEnd w:id="109"/>
    </w:p>
    <w:p>
      <w:pPr>
        <w:tabs>
          <w:tab w:val="left" w:pos="1080"/>
        </w:tabs>
        <w:spacing w:line="400" w:lineRule="exact"/>
        <w:ind w:firstLine="469" w:firstLineChars="192"/>
        <w:rPr>
          <w:rFonts w:hint="eastAsia" w:hAnsi="宋体" w:cs="宋体"/>
          <w:color w:val="auto"/>
          <w:sz w:val="24"/>
          <w:highlight w:val="none"/>
        </w:rPr>
      </w:pPr>
      <w:r>
        <w:rPr>
          <w:rFonts w:hint="eastAsia" w:hAnsi="宋体" w:cs="宋体"/>
          <w:color w:val="auto"/>
          <w:sz w:val="24"/>
          <w:highlight w:val="none"/>
        </w:rPr>
        <w:t>21.1 响应文件应于递交响应文件截止时间前送达指定地点，采购</w:t>
      </w:r>
      <w:r>
        <w:rPr>
          <w:rFonts w:hint="eastAsia" w:hAnsi="宋体" w:cs="宋体"/>
          <w:color w:val="auto"/>
          <w:sz w:val="24"/>
          <w:highlight w:val="none"/>
          <w:lang w:eastAsia="zh-CN"/>
        </w:rPr>
        <w:t>人</w:t>
      </w:r>
      <w:r>
        <w:rPr>
          <w:rFonts w:hint="eastAsia" w:hAnsi="宋体" w:cs="宋体"/>
          <w:color w:val="auto"/>
          <w:sz w:val="24"/>
          <w:highlight w:val="none"/>
        </w:rPr>
        <w:t>拒绝接收截止时间后送达的响应文件。谈判供应商应在竞争性谈判文件规定的谈判截止时间前，将响应文件按竞争性谈判文件规定要求密封后送达谈判地点。未按照以上要求递交响应文件将被拒绝接收，响应文件递交截止时间以后送达的响应文件将被拒绝接收。</w:t>
      </w:r>
    </w:p>
    <w:p>
      <w:pPr>
        <w:tabs>
          <w:tab w:val="left" w:pos="1080"/>
        </w:tabs>
        <w:spacing w:line="400" w:lineRule="exact"/>
        <w:ind w:firstLine="469" w:firstLineChars="192"/>
        <w:rPr>
          <w:rFonts w:hint="eastAsia" w:hAnsi="宋体" w:cs="宋体"/>
          <w:color w:val="auto"/>
          <w:sz w:val="24"/>
          <w:highlight w:val="none"/>
        </w:rPr>
      </w:pPr>
      <w:r>
        <w:rPr>
          <w:rFonts w:hint="eastAsia" w:hAnsi="宋体" w:cs="宋体"/>
          <w:color w:val="auto"/>
          <w:sz w:val="24"/>
          <w:highlight w:val="none"/>
        </w:rPr>
        <w:t>21.2 采购</w:t>
      </w:r>
      <w:r>
        <w:rPr>
          <w:rFonts w:hint="eastAsia" w:hAnsi="宋体" w:cs="宋体"/>
          <w:color w:val="auto"/>
          <w:sz w:val="24"/>
          <w:highlight w:val="none"/>
          <w:lang w:eastAsia="zh-CN"/>
        </w:rPr>
        <w:t>人</w:t>
      </w:r>
      <w:r>
        <w:rPr>
          <w:rFonts w:hint="eastAsia" w:hAnsi="宋体" w:cs="宋体"/>
          <w:color w:val="auto"/>
          <w:sz w:val="24"/>
          <w:highlight w:val="none"/>
        </w:rPr>
        <w:t>将向通过资格审查的供应商发出谈判邀请；告知未通过资格审查的供应商未通过的原因。</w:t>
      </w:r>
    </w:p>
    <w:p>
      <w:pPr>
        <w:tabs>
          <w:tab w:val="left" w:pos="1080"/>
        </w:tabs>
        <w:spacing w:line="400" w:lineRule="exact"/>
        <w:ind w:firstLine="469" w:firstLineChars="192"/>
        <w:rPr>
          <w:rFonts w:hint="eastAsia" w:hAnsi="宋体" w:cs="宋体"/>
          <w:color w:val="auto"/>
          <w:sz w:val="24"/>
          <w:highlight w:val="none"/>
        </w:rPr>
      </w:pPr>
      <w:r>
        <w:rPr>
          <w:rFonts w:hint="eastAsia" w:hAnsi="宋体" w:cs="宋体"/>
          <w:color w:val="auto"/>
          <w:sz w:val="24"/>
          <w:highlight w:val="none"/>
        </w:rPr>
        <w:t>21.3 最后报价表在谈判后，谈判小组要求供应商进行最后报价时递交。</w:t>
      </w:r>
    </w:p>
    <w:p>
      <w:pPr>
        <w:tabs>
          <w:tab w:val="left" w:pos="1080"/>
        </w:tabs>
        <w:spacing w:line="400" w:lineRule="exact"/>
        <w:ind w:firstLine="469" w:firstLineChars="192"/>
        <w:rPr>
          <w:rFonts w:hint="eastAsia" w:hAnsi="宋体" w:cs="宋体"/>
          <w:color w:val="auto"/>
          <w:sz w:val="24"/>
          <w:highlight w:val="none"/>
        </w:rPr>
      </w:pPr>
      <w:r>
        <w:rPr>
          <w:rFonts w:hint="eastAsia" w:hAnsi="宋体" w:cs="宋体"/>
          <w:color w:val="auto"/>
          <w:sz w:val="24"/>
          <w:highlight w:val="none"/>
        </w:rPr>
        <w:t>21.4 本次采购不接收邮寄的响应文件</w:t>
      </w:r>
      <w:bookmarkEnd w:id="104"/>
      <w:bookmarkEnd w:id="105"/>
      <w:bookmarkEnd w:id="106"/>
      <w:bookmarkEnd w:id="107"/>
      <w:bookmarkEnd w:id="108"/>
      <w:bookmarkStart w:id="110" w:name="_Toc217446055"/>
      <w:bookmarkStart w:id="111" w:name="_Toc183582228"/>
      <w:bookmarkStart w:id="112" w:name="_Toc183682365"/>
      <w:r>
        <w:rPr>
          <w:rFonts w:hint="eastAsia" w:hAnsi="宋体" w:cs="宋体"/>
          <w:color w:val="auto"/>
          <w:sz w:val="24"/>
          <w:highlight w:val="none"/>
        </w:rPr>
        <w:t>。</w:t>
      </w:r>
    </w:p>
    <w:p>
      <w:pPr>
        <w:tabs>
          <w:tab w:val="left" w:pos="1080"/>
        </w:tabs>
        <w:spacing w:line="400" w:lineRule="exact"/>
        <w:ind w:firstLine="469" w:firstLineChars="192"/>
        <w:outlineLvl w:val="2"/>
        <w:rPr>
          <w:rFonts w:hint="eastAsia" w:hAnsi="宋体" w:cs="宋体"/>
          <w:b/>
          <w:color w:val="auto"/>
          <w:sz w:val="24"/>
          <w:highlight w:val="none"/>
        </w:rPr>
      </w:pPr>
      <w:bookmarkStart w:id="113" w:name="_Toc4616452"/>
      <w:r>
        <w:rPr>
          <w:rFonts w:hint="eastAsia" w:hAnsi="宋体" w:cs="宋体"/>
          <w:b/>
          <w:color w:val="auto"/>
          <w:sz w:val="24"/>
          <w:highlight w:val="none"/>
        </w:rPr>
        <w:t>22.响应文件的修改和撤回（补充、修改响应文件的密封和标注按照本章“20.响应文件的密封和标注”规定处理）</w:t>
      </w:r>
      <w:bookmarkEnd w:id="113"/>
    </w:p>
    <w:p>
      <w:pPr>
        <w:pStyle w:val="6"/>
        <w:spacing w:line="400" w:lineRule="exact"/>
        <w:ind w:firstLine="490"/>
        <w:rPr>
          <w:rFonts w:hint="eastAsia" w:ascii="宋体" w:hAnsi="宋体" w:cs="宋体"/>
          <w:color w:val="auto"/>
          <w:sz w:val="24"/>
          <w:highlight w:val="none"/>
        </w:rPr>
      </w:pPr>
      <w:r>
        <w:rPr>
          <w:rFonts w:hint="eastAsia" w:ascii="宋体" w:hAnsi="宋体" w:cs="宋体"/>
          <w:color w:val="auto"/>
          <w:sz w:val="24"/>
          <w:highlight w:val="none"/>
        </w:rPr>
        <w:t>22.1供应商在提交响应文件后可对其响应文件进行修改或撤回，但该修改或撤回的书面通知须在递交截止时间之前送达采购</w:t>
      </w:r>
      <w:r>
        <w:rPr>
          <w:rFonts w:hint="eastAsia" w:ascii="宋体" w:hAnsi="宋体" w:cs="宋体"/>
          <w:color w:val="auto"/>
          <w:sz w:val="24"/>
          <w:highlight w:val="none"/>
          <w:lang w:eastAsia="zh-CN"/>
        </w:rPr>
        <w:t>人</w:t>
      </w:r>
      <w:r>
        <w:rPr>
          <w:rFonts w:hint="eastAsia" w:ascii="宋体" w:hAnsi="宋体" w:cs="宋体"/>
          <w:color w:val="auto"/>
          <w:sz w:val="24"/>
          <w:highlight w:val="none"/>
        </w:rPr>
        <w:t>，补充、修改的内容作为响应文件的组成部分。且该通知需经正式授权的供应商代表签字方为有效。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pPr>
        <w:adjustRightInd w:val="0"/>
        <w:snapToGrid w:val="0"/>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22.2供应商对响应文件修改的书面材料或撤回的通知应该按规定进行编写、密封、标注和递送，并注明“修改响应文件”字样。</w:t>
      </w:r>
    </w:p>
    <w:p>
      <w:pPr>
        <w:adjustRightInd w:val="0"/>
        <w:snapToGrid w:val="0"/>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22.3 供应商不得在递交截止时间起至响应文件有效期期满前撤回其响应文件（已提交响应文件的供应商，在提交最后报价之前，根据谈判情况退出谈判的除外）。否则其谈判保证金将按“第二章总则7.6”的相关规定被没收。</w:t>
      </w:r>
    </w:p>
    <w:p>
      <w:pPr>
        <w:spacing w:line="400" w:lineRule="exact"/>
        <w:ind w:firstLine="480"/>
        <w:rPr>
          <w:rFonts w:hint="eastAsia" w:hAnsi="宋体" w:cs="宋体"/>
          <w:color w:val="auto"/>
          <w:sz w:val="24"/>
          <w:highlight w:val="none"/>
        </w:rPr>
      </w:pPr>
      <w:r>
        <w:rPr>
          <w:rFonts w:hint="eastAsia" w:hAnsi="宋体" w:cs="宋体"/>
          <w:color w:val="auto"/>
          <w:sz w:val="24"/>
          <w:highlight w:val="none"/>
        </w:rPr>
        <w:t>22.4 响应文件中报价如果出现下列不一致的，可按以下原则进行修改：</w:t>
      </w:r>
    </w:p>
    <w:p>
      <w:pPr>
        <w:spacing w:line="400" w:lineRule="exact"/>
        <w:ind w:firstLine="480"/>
        <w:rPr>
          <w:rFonts w:hint="eastAsia" w:hAnsi="宋体" w:cs="宋体"/>
          <w:color w:val="auto"/>
          <w:sz w:val="24"/>
          <w:highlight w:val="none"/>
        </w:rPr>
      </w:pPr>
      <w:r>
        <w:rPr>
          <w:rFonts w:hint="eastAsia" w:hAnsi="宋体" w:cs="宋体"/>
          <w:color w:val="auto"/>
          <w:sz w:val="24"/>
          <w:highlight w:val="none"/>
        </w:rPr>
        <w:t>（一）大写金额和小写金额不一致的，以大写金额为准，但大写金额文字存在错误的，应当先对大写金额的文字错误进行澄清、说明或者更正，再行修正。</w:t>
      </w:r>
    </w:p>
    <w:p>
      <w:pPr>
        <w:spacing w:line="400" w:lineRule="exact"/>
        <w:ind w:firstLine="480"/>
        <w:rPr>
          <w:rFonts w:hint="eastAsia" w:hAnsi="宋体" w:cs="宋体"/>
          <w:color w:val="auto"/>
          <w:sz w:val="24"/>
          <w:highlight w:val="none"/>
        </w:rPr>
      </w:pPr>
      <w:r>
        <w:rPr>
          <w:rFonts w:hint="eastAsia" w:hAnsi="宋体" w:cs="宋体"/>
          <w:color w:val="auto"/>
          <w:sz w:val="24"/>
          <w:highlight w:val="none"/>
        </w:rPr>
        <w:t>（二）总价金额与按单价汇总金额不一致的，以单价金额计算结果为准，但单价或者单价汇总金额存在数字或者文字错误的，应当先对数字或者文字错误进行澄清、说明或者更正，再行修正。</w:t>
      </w:r>
    </w:p>
    <w:p>
      <w:pPr>
        <w:adjustRightInd w:val="0"/>
        <w:snapToGrid w:val="0"/>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（三）单价金额小数点或者百分比有明显错位的，以总价为准，修正单价。</w:t>
      </w:r>
    </w:p>
    <w:p>
      <w:pPr>
        <w:adjustRightInd w:val="0"/>
        <w:snapToGrid w:val="0"/>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pPr>
        <w:spacing w:line="400" w:lineRule="exact"/>
        <w:ind w:firstLine="480"/>
        <w:rPr>
          <w:rFonts w:hint="eastAsia" w:hAnsi="宋体" w:cs="宋体"/>
          <w:color w:val="auto"/>
          <w:sz w:val="24"/>
          <w:highlight w:val="none"/>
        </w:rPr>
      </w:pPr>
      <w:r>
        <w:rPr>
          <w:rFonts w:hint="eastAsia" w:hAnsi="宋体" w:cs="宋体"/>
          <w:color w:val="auto"/>
          <w:sz w:val="24"/>
          <w:highlight w:val="none"/>
        </w:rPr>
        <w:t>22.5 供应商对其提交的响应文件的真实性、合法性承担法律责任。</w:t>
      </w:r>
      <w:bookmarkEnd w:id="110"/>
      <w:bookmarkEnd w:id="111"/>
      <w:bookmarkEnd w:id="112"/>
    </w:p>
    <w:p>
      <w:pPr>
        <w:tabs>
          <w:tab w:val="left" w:pos="1080"/>
        </w:tabs>
        <w:spacing w:line="400" w:lineRule="exact"/>
        <w:ind w:firstLine="469" w:firstLineChars="192"/>
        <w:rPr>
          <w:rFonts w:hint="eastAsia" w:hAnsi="宋体" w:cs="宋体"/>
          <w:color w:val="auto"/>
          <w:sz w:val="24"/>
          <w:highlight w:val="none"/>
        </w:rPr>
      </w:pPr>
    </w:p>
    <w:p>
      <w:pPr>
        <w:pStyle w:val="4"/>
        <w:keepNext w:val="0"/>
        <w:keepLines w:val="0"/>
        <w:spacing w:line="400" w:lineRule="exact"/>
        <w:jc w:val="center"/>
        <w:rPr>
          <w:rFonts w:hint="eastAsia" w:ascii="宋体" w:hAnsi="宋体" w:eastAsia="宋体" w:cs="宋体"/>
          <w:color w:val="auto"/>
          <w:highlight w:val="none"/>
        </w:rPr>
      </w:pPr>
      <w:bookmarkStart w:id="114" w:name="_Toc4616453"/>
      <w:r>
        <w:rPr>
          <w:rFonts w:hint="eastAsia" w:ascii="宋体" w:hAnsi="宋体" w:eastAsia="宋体" w:cs="宋体"/>
          <w:color w:val="auto"/>
          <w:highlight w:val="none"/>
        </w:rPr>
        <w:t>五、评审</w:t>
      </w:r>
      <w:bookmarkEnd w:id="114"/>
    </w:p>
    <w:p>
      <w:pPr>
        <w:pStyle w:val="5"/>
        <w:keepNext w:val="0"/>
        <w:keepLines w:val="0"/>
        <w:spacing w:line="400" w:lineRule="exact"/>
        <w:ind w:firstLine="490" w:firstLineChars="200"/>
        <w:rPr>
          <w:rFonts w:hint="eastAsia" w:ascii="宋体" w:hAnsi="宋体" w:cs="宋体"/>
          <w:color w:val="auto"/>
          <w:sz w:val="24"/>
          <w:szCs w:val="24"/>
          <w:highlight w:val="none"/>
        </w:rPr>
      </w:pPr>
      <w:bookmarkStart w:id="115" w:name="_Toc4616454"/>
      <w:r>
        <w:rPr>
          <w:rFonts w:hint="eastAsia" w:ascii="宋体" w:hAnsi="宋体" w:cs="宋体"/>
          <w:color w:val="auto"/>
          <w:sz w:val="24"/>
          <w:szCs w:val="24"/>
          <w:highlight w:val="none"/>
        </w:rPr>
        <w:t>23.谈判小组的组建及其评审工作按照有关法律制度和本文件第八章的规定进行。</w:t>
      </w:r>
      <w:bookmarkEnd w:id="115"/>
    </w:p>
    <w:p>
      <w:pPr>
        <w:pStyle w:val="4"/>
        <w:keepNext w:val="0"/>
        <w:keepLines w:val="0"/>
        <w:spacing w:line="400" w:lineRule="exact"/>
        <w:jc w:val="center"/>
        <w:rPr>
          <w:rFonts w:hint="eastAsia" w:ascii="宋体" w:hAnsi="宋体" w:eastAsia="宋体" w:cs="宋体"/>
          <w:color w:val="auto"/>
          <w:highlight w:val="none"/>
        </w:rPr>
      </w:pPr>
      <w:bookmarkStart w:id="116" w:name="_Toc4616455"/>
      <w:r>
        <w:rPr>
          <w:rFonts w:hint="eastAsia" w:ascii="宋体" w:hAnsi="宋体" w:eastAsia="宋体" w:cs="宋体"/>
          <w:color w:val="auto"/>
          <w:highlight w:val="none"/>
        </w:rPr>
        <w:t>六、成交事项</w:t>
      </w:r>
      <w:bookmarkEnd w:id="116"/>
    </w:p>
    <w:p>
      <w:pPr>
        <w:pStyle w:val="5"/>
        <w:keepNext w:val="0"/>
        <w:keepLines w:val="0"/>
        <w:spacing w:before="0" w:after="0" w:line="400" w:lineRule="exact"/>
        <w:ind w:firstLine="490" w:firstLineChars="200"/>
        <w:rPr>
          <w:rFonts w:hint="eastAsia" w:hAnsi="宋体" w:cs="宋体"/>
          <w:bCs w:val="0"/>
          <w:color w:val="auto"/>
          <w:sz w:val="24"/>
          <w:szCs w:val="24"/>
          <w:highlight w:val="none"/>
        </w:rPr>
      </w:pPr>
      <w:bookmarkStart w:id="117" w:name="_Toc4616456"/>
      <w:r>
        <w:rPr>
          <w:rFonts w:hint="eastAsia" w:ascii="宋体" w:hAnsi="宋体" w:cs="宋体"/>
          <w:color w:val="auto"/>
          <w:sz w:val="24"/>
          <w:szCs w:val="24"/>
          <w:highlight w:val="none"/>
        </w:rPr>
        <w:t>24.确定成交供应商</w:t>
      </w:r>
      <w:bookmarkEnd w:id="117"/>
    </w:p>
    <w:p>
      <w:pPr>
        <w:spacing w:line="400" w:lineRule="exact"/>
        <w:ind w:firstLine="490" w:firstLineChars="200"/>
        <w:rPr>
          <w:rFonts w:hint="eastAsia" w:hAnsi="宋体"/>
          <w:b w:val="0"/>
          <w:bCs/>
          <w:color w:val="auto"/>
          <w:sz w:val="24"/>
          <w:szCs w:val="24"/>
          <w:highlight w:val="none"/>
        </w:rPr>
      </w:pPr>
      <w:r>
        <w:rPr>
          <w:rFonts w:hint="eastAsia" w:hAnsi="宋体"/>
          <w:b w:val="0"/>
          <w:bCs/>
          <w:color w:val="auto"/>
          <w:sz w:val="24"/>
          <w:szCs w:val="24"/>
          <w:highlight w:val="none"/>
        </w:rPr>
        <w:t>采购人将按谈判小组推荐的成交候选供应商顺序确定成交供应商。</w:t>
      </w:r>
    </w:p>
    <w:p>
      <w:pPr>
        <w:spacing w:line="400" w:lineRule="exact"/>
        <w:ind w:firstLine="490" w:firstLineChars="200"/>
        <w:rPr>
          <w:rFonts w:hint="eastAsia" w:hAnsi="宋体" w:cs="宋体"/>
          <w:bCs/>
          <w:color w:val="auto"/>
          <w:sz w:val="24"/>
          <w:szCs w:val="24"/>
          <w:highlight w:val="none"/>
        </w:rPr>
      </w:pPr>
      <w:r>
        <w:rPr>
          <w:rFonts w:hint="eastAsia" w:hAnsi="宋体" w:cs="宋体"/>
          <w:bCs/>
          <w:color w:val="auto"/>
          <w:sz w:val="24"/>
          <w:szCs w:val="24"/>
          <w:highlight w:val="none"/>
        </w:rPr>
        <w:t>24.</w:t>
      </w:r>
      <w:r>
        <w:rPr>
          <w:rFonts w:hint="eastAsia" w:hAnsi="宋体" w:cs="宋体"/>
          <w:bCs/>
          <w:color w:val="auto"/>
          <w:sz w:val="24"/>
          <w:szCs w:val="24"/>
          <w:highlight w:val="none"/>
          <w:lang w:val="en-US" w:eastAsia="zh-CN"/>
        </w:rPr>
        <w:t>1</w:t>
      </w:r>
      <w:r>
        <w:rPr>
          <w:rFonts w:hint="eastAsia" w:hAnsi="宋体" w:cs="宋体"/>
          <w:bCs/>
          <w:color w:val="auto"/>
          <w:sz w:val="24"/>
          <w:szCs w:val="24"/>
          <w:highlight w:val="none"/>
        </w:rPr>
        <w:t>采购人确定成交供应商过程中，发现成交候选供应商有下列情形之一的，应当不予确定其为成交供应商：</w:t>
      </w:r>
    </w:p>
    <w:p>
      <w:pPr>
        <w:spacing w:line="400" w:lineRule="exact"/>
        <w:ind w:firstLine="490" w:firstLineChars="200"/>
        <w:rPr>
          <w:rFonts w:hint="eastAsia" w:hAnsi="宋体" w:cs="宋体"/>
          <w:bCs/>
          <w:color w:val="auto"/>
          <w:sz w:val="24"/>
          <w:szCs w:val="24"/>
          <w:highlight w:val="none"/>
        </w:rPr>
      </w:pPr>
      <w:r>
        <w:rPr>
          <w:rFonts w:hint="eastAsia" w:hAnsi="宋体" w:cs="宋体"/>
          <w:bCs/>
          <w:color w:val="auto"/>
          <w:sz w:val="24"/>
          <w:szCs w:val="24"/>
          <w:highlight w:val="none"/>
        </w:rPr>
        <w:t>（1）发现成交候选供应商存在禁止参加本项目采购活动的违法行为的；</w:t>
      </w:r>
    </w:p>
    <w:p>
      <w:pPr>
        <w:spacing w:line="400" w:lineRule="exact"/>
        <w:ind w:firstLine="490" w:firstLineChars="200"/>
        <w:rPr>
          <w:rFonts w:hint="eastAsia" w:hAnsi="宋体" w:cs="宋体"/>
          <w:bCs/>
          <w:color w:val="auto"/>
          <w:sz w:val="24"/>
          <w:szCs w:val="24"/>
          <w:highlight w:val="none"/>
        </w:rPr>
      </w:pPr>
      <w:r>
        <w:rPr>
          <w:rFonts w:hint="eastAsia" w:hAnsi="宋体" w:cs="宋体"/>
          <w:bCs/>
          <w:color w:val="auto"/>
          <w:sz w:val="24"/>
          <w:szCs w:val="24"/>
          <w:highlight w:val="none"/>
        </w:rPr>
        <w:t>（2）成交候选供应商因不可抗力，不能继续参加采购活动。</w:t>
      </w:r>
    </w:p>
    <w:p>
      <w:pPr>
        <w:spacing w:line="400" w:lineRule="exact"/>
        <w:ind w:firstLine="490" w:firstLineChars="200"/>
        <w:rPr>
          <w:rFonts w:hint="eastAsia" w:hAnsi="宋体" w:cs="宋体"/>
          <w:bCs/>
          <w:color w:val="auto"/>
          <w:sz w:val="24"/>
          <w:szCs w:val="24"/>
          <w:highlight w:val="none"/>
        </w:rPr>
      </w:pPr>
      <w:r>
        <w:rPr>
          <w:rFonts w:hint="eastAsia" w:hAnsi="宋体" w:cs="宋体"/>
          <w:bCs/>
          <w:color w:val="auto"/>
          <w:sz w:val="24"/>
          <w:szCs w:val="24"/>
          <w:highlight w:val="none"/>
        </w:rPr>
        <w:t>（3）成交候选供应商无偿赠与或者低于成本价竞争；</w:t>
      </w:r>
    </w:p>
    <w:p>
      <w:pPr>
        <w:spacing w:line="400" w:lineRule="exact"/>
        <w:ind w:firstLine="490" w:firstLineChars="200"/>
        <w:rPr>
          <w:rFonts w:hint="eastAsia" w:hAnsi="宋体" w:cs="宋体"/>
          <w:bCs/>
          <w:color w:val="auto"/>
          <w:sz w:val="24"/>
          <w:szCs w:val="24"/>
          <w:highlight w:val="none"/>
        </w:rPr>
      </w:pPr>
      <w:r>
        <w:rPr>
          <w:rFonts w:hint="eastAsia" w:hAnsi="宋体" w:cs="宋体"/>
          <w:bCs/>
          <w:color w:val="auto"/>
          <w:sz w:val="24"/>
          <w:szCs w:val="24"/>
          <w:highlight w:val="none"/>
        </w:rPr>
        <w:t>（4）成交候选供应商提供虚假材料；</w:t>
      </w:r>
    </w:p>
    <w:p>
      <w:pPr>
        <w:spacing w:line="400" w:lineRule="exact"/>
        <w:ind w:firstLine="490" w:firstLineChars="200"/>
        <w:rPr>
          <w:rFonts w:hint="eastAsia" w:hAnsi="宋体" w:cs="宋体"/>
          <w:bCs/>
          <w:color w:val="auto"/>
          <w:sz w:val="24"/>
          <w:szCs w:val="24"/>
          <w:highlight w:val="none"/>
        </w:rPr>
      </w:pPr>
      <w:r>
        <w:rPr>
          <w:rFonts w:hint="eastAsia" w:hAnsi="宋体" w:cs="宋体"/>
          <w:bCs/>
          <w:color w:val="auto"/>
          <w:sz w:val="24"/>
          <w:szCs w:val="24"/>
          <w:highlight w:val="none"/>
        </w:rPr>
        <w:t>（5）成交候选供应商恶意串通。</w:t>
      </w:r>
    </w:p>
    <w:p>
      <w:pPr>
        <w:spacing w:line="400" w:lineRule="exact"/>
        <w:ind w:firstLine="490" w:firstLineChars="200"/>
        <w:rPr>
          <w:rFonts w:hint="eastAsia" w:hAnsi="宋体" w:cs="宋体"/>
          <w:bCs/>
          <w:color w:val="auto"/>
          <w:sz w:val="24"/>
          <w:szCs w:val="24"/>
          <w:highlight w:val="none"/>
        </w:rPr>
      </w:pPr>
      <w:r>
        <w:rPr>
          <w:rFonts w:hint="eastAsia" w:hAnsi="宋体" w:cs="宋体"/>
          <w:bCs/>
          <w:color w:val="auto"/>
          <w:sz w:val="24"/>
          <w:szCs w:val="24"/>
          <w:highlight w:val="none"/>
        </w:rPr>
        <w:t>成交候选供应商有本条情形之一的，采购人可以确定后一位成交候选供应商为成交供应商，依次类推。无法确定成交供应商的，应当重新组织采购。</w:t>
      </w:r>
    </w:p>
    <w:p>
      <w:pPr>
        <w:pStyle w:val="5"/>
        <w:keepNext w:val="0"/>
        <w:keepLines w:val="0"/>
        <w:spacing w:after="0" w:line="400" w:lineRule="exact"/>
        <w:ind w:firstLine="490" w:firstLineChars="200"/>
        <w:rPr>
          <w:rFonts w:hint="eastAsia" w:ascii="宋体" w:hAnsi="宋体" w:cs="宋体"/>
          <w:color w:val="auto"/>
          <w:sz w:val="24"/>
          <w:szCs w:val="24"/>
          <w:highlight w:val="none"/>
        </w:rPr>
      </w:pPr>
      <w:bookmarkStart w:id="118" w:name="_Toc1473"/>
      <w:bookmarkStart w:id="119" w:name="_Toc4616457"/>
      <w:r>
        <w:rPr>
          <w:rFonts w:hint="eastAsia" w:ascii="宋体" w:hAnsi="宋体" w:cs="宋体"/>
          <w:color w:val="auto"/>
          <w:sz w:val="24"/>
          <w:szCs w:val="24"/>
          <w:highlight w:val="none"/>
        </w:rPr>
        <w:t>25.行贿犯罪</w:t>
      </w:r>
      <w:bookmarkEnd w:id="118"/>
      <w:r>
        <w:rPr>
          <w:rFonts w:hint="eastAsia" w:ascii="宋体" w:hAnsi="宋体" w:cs="宋体"/>
          <w:color w:val="auto"/>
          <w:sz w:val="24"/>
          <w:szCs w:val="24"/>
          <w:highlight w:val="none"/>
        </w:rPr>
        <w:t>记录</w:t>
      </w:r>
      <w:bookmarkEnd w:id="119"/>
    </w:p>
    <w:p>
      <w:pPr>
        <w:spacing w:line="400" w:lineRule="exact"/>
        <w:ind w:firstLine="490" w:firstLineChars="200"/>
        <w:rPr>
          <w:rFonts w:hint="eastAsia" w:hAnsi="宋体" w:cs="宋体"/>
          <w:bCs/>
          <w:color w:val="auto"/>
          <w:sz w:val="24"/>
          <w:szCs w:val="24"/>
          <w:highlight w:val="none"/>
        </w:rPr>
      </w:pPr>
      <w:r>
        <w:rPr>
          <w:rFonts w:hint="eastAsia" w:hAnsi="宋体" w:cs="宋体"/>
          <w:bCs/>
          <w:color w:val="auto"/>
          <w:sz w:val="24"/>
          <w:szCs w:val="24"/>
          <w:highlight w:val="none"/>
        </w:rPr>
        <w:t>25.1成交候选供应商单位及其现任法定代表人、主要负责人存在行贿犯罪记录的，成交后未签订采购合同的，将认定成交无效；成交后签订采购合同未履行的，将认定成交无效，同时撤销采购合同；成交后签订采购合同且已经履行的，将认定采购活动违法，由相关当事人承担赔偿责任。</w:t>
      </w:r>
    </w:p>
    <w:p>
      <w:pPr>
        <w:rPr>
          <w:rFonts w:hint="eastAsia" w:hAnsi="宋体" w:cs="宋体"/>
          <w:color w:val="auto"/>
          <w:highlight w:val="none"/>
        </w:rPr>
      </w:pPr>
    </w:p>
    <w:p>
      <w:pPr>
        <w:pStyle w:val="5"/>
        <w:keepNext w:val="0"/>
        <w:keepLines w:val="0"/>
        <w:spacing w:before="0" w:after="0" w:line="400" w:lineRule="exact"/>
        <w:ind w:firstLine="490" w:firstLineChars="200"/>
        <w:rPr>
          <w:rFonts w:hint="eastAsia" w:ascii="宋体" w:hAnsi="宋体" w:cs="宋体"/>
          <w:color w:val="auto"/>
          <w:sz w:val="24"/>
          <w:szCs w:val="24"/>
          <w:highlight w:val="none"/>
        </w:rPr>
      </w:pPr>
      <w:bookmarkStart w:id="120" w:name="_Toc4616458"/>
      <w:r>
        <w:rPr>
          <w:rFonts w:hint="eastAsia" w:ascii="宋体" w:hAnsi="宋体" w:cs="宋体"/>
          <w:color w:val="auto"/>
          <w:sz w:val="24"/>
          <w:szCs w:val="24"/>
          <w:highlight w:val="none"/>
        </w:rPr>
        <w:t>26.成交结果</w:t>
      </w:r>
      <w:bookmarkEnd w:id="120"/>
    </w:p>
    <w:p>
      <w:pPr>
        <w:spacing w:line="400" w:lineRule="exact"/>
        <w:ind w:firstLine="490" w:firstLineChars="200"/>
        <w:rPr>
          <w:rFonts w:hint="eastAsia" w:hAnsi="宋体" w:cs="宋体"/>
          <w:color w:val="auto"/>
          <w:sz w:val="24"/>
          <w:szCs w:val="24"/>
          <w:highlight w:val="none"/>
        </w:rPr>
      </w:pPr>
      <w:r>
        <w:rPr>
          <w:rFonts w:hint="eastAsia" w:hAnsi="宋体" w:cs="宋体"/>
          <w:color w:val="auto"/>
          <w:sz w:val="24"/>
          <w:szCs w:val="24"/>
          <w:highlight w:val="none"/>
        </w:rPr>
        <w:t>26.1采购人确定成交供应商后，将及时书面通知采购</w:t>
      </w:r>
      <w:r>
        <w:rPr>
          <w:rFonts w:hint="eastAsia" w:hAnsi="宋体" w:cs="宋体"/>
          <w:color w:val="auto"/>
          <w:sz w:val="24"/>
          <w:szCs w:val="24"/>
          <w:highlight w:val="none"/>
          <w:lang w:eastAsia="zh-CN"/>
        </w:rPr>
        <w:t>人</w:t>
      </w:r>
      <w:r>
        <w:rPr>
          <w:rFonts w:hint="eastAsia" w:hAnsi="宋体" w:cs="宋体"/>
          <w:color w:val="auto"/>
          <w:sz w:val="24"/>
          <w:szCs w:val="24"/>
          <w:highlight w:val="none"/>
        </w:rPr>
        <w:t>，发出成交通知书并发布成交结果公告。</w:t>
      </w:r>
    </w:p>
    <w:p>
      <w:pPr>
        <w:spacing w:line="400" w:lineRule="exact"/>
        <w:ind w:firstLine="490" w:firstLineChars="200"/>
        <w:rPr>
          <w:rFonts w:hint="eastAsia" w:hAnsi="宋体" w:cs="宋体"/>
          <w:color w:val="auto"/>
          <w:sz w:val="24"/>
          <w:szCs w:val="24"/>
          <w:highlight w:val="none"/>
        </w:rPr>
      </w:pPr>
      <w:r>
        <w:rPr>
          <w:rFonts w:hint="eastAsia" w:hAnsi="宋体" w:cs="宋体"/>
          <w:color w:val="auto"/>
          <w:sz w:val="24"/>
          <w:szCs w:val="24"/>
          <w:highlight w:val="none"/>
        </w:rPr>
        <w:t>26.2成交供应商应当及时领取成交通知书。</w:t>
      </w:r>
    </w:p>
    <w:p>
      <w:pPr>
        <w:spacing w:line="400" w:lineRule="exact"/>
        <w:ind w:firstLine="490" w:firstLineChars="200"/>
        <w:rPr>
          <w:rFonts w:hint="eastAsia" w:hAnsi="宋体" w:cs="宋体"/>
          <w:color w:val="auto"/>
          <w:sz w:val="24"/>
          <w:szCs w:val="24"/>
          <w:highlight w:val="none"/>
        </w:rPr>
      </w:pPr>
      <w:r>
        <w:rPr>
          <w:rFonts w:hint="eastAsia" w:hAnsi="宋体" w:cs="宋体"/>
          <w:color w:val="auto"/>
          <w:sz w:val="24"/>
          <w:szCs w:val="24"/>
          <w:highlight w:val="none"/>
        </w:rPr>
        <w:t>26.3成交供应商不能及时领取成交通知书，采购人应当通过邮寄、快递等方式将项目成交通知书送达成交供应商。</w:t>
      </w:r>
    </w:p>
    <w:p>
      <w:pPr>
        <w:ind w:firstLine="490" w:firstLineChars="200"/>
        <w:rPr>
          <w:rFonts w:hint="eastAsia" w:hAnsi="宋体" w:cs="宋体"/>
          <w:color w:val="auto"/>
          <w:sz w:val="24"/>
          <w:highlight w:val="none"/>
        </w:rPr>
      </w:pPr>
    </w:p>
    <w:p>
      <w:pPr>
        <w:pStyle w:val="5"/>
        <w:keepNext w:val="0"/>
        <w:keepLines w:val="0"/>
        <w:spacing w:before="0" w:after="0" w:line="400" w:lineRule="exact"/>
        <w:ind w:firstLine="490" w:firstLineChars="200"/>
        <w:rPr>
          <w:rFonts w:hint="eastAsia" w:ascii="宋体" w:hAnsi="宋体" w:cs="宋体"/>
          <w:color w:val="auto"/>
          <w:sz w:val="24"/>
          <w:szCs w:val="24"/>
          <w:highlight w:val="none"/>
        </w:rPr>
      </w:pPr>
      <w:bookmarkStart w:id="121" w:name="_Toc4616459"/>
      <w:r>
        <w:rPr>
          <w:rFonts w:hint="eastAsia" w:ascii="宋体" w:hAnsi="宋体" w:cs="宋体"/>
          <w:color w:val="auto"/>
          <w:sz w:val="24"/>
          <w:szCs w:val="24"/>
          <w:highlight w:val="none"/>
        </w:rPr>
        <w:t>27.成交通知书</w:t>
      </w:r>
      <w:bookmarkEnd w:id="121"/>
    </w:p>
    <w:p>
      <w:pPr>
        <w:spacing w:line="400" w:lineRule="exact"/>
        <w:ind w:firstLine="490" w:firstLineChars="200"/>
        <w:rPr>
          <w:rFonts w:hint="eastAsia" w:hAnsi="宋体" w:cs="宋体"/>
          <w:bCs/>
          <w:color w:val="auto"/>
          <w:sz w:val="24"/>
          <w:szCs w:val="24"/>
          <w:highlight w:val="none"/>
        </w:rPr>
      </w:pPr>
      <w:r>
        <w:rPr>
          <w:rFonts w:hint="eastAsia" w:hAnsi="宋体" w:cs="宋体"/>
          <w:bCs/>
          <w:color w:val="auto"/>
          <w:sz w:val="24"/>
          <w:szCs w:val="24"/>
          <w:highlight w:val="none"/>
        </w:rPr>
        <w:t>27.1成交通知书为签订采购合同的依据之一，是合同的有效组成部分。</w:t>
      </w:r>
    </w:p>
    <w:p>
      <w:pPr>
        <w:spacing w:line="400" w:lineRule="exact"/>
        <w:ind w:firstLine="490" w:firstLineChars="200"/>
        <w:rPr>
          <w:rFonts w:hint="eastAsia" w:hAnsi="宋体" w:cs="宋体"/>
          <w:bCs/>
          <w:color w:val="auto"/>
          <w:sz w:val="24"/>
          <w:szCs w:val="24"/>
          <w:highlight w:val="none"/>
        </w:rPr>
      </w:pPr>
      <w:r>
        <w:rPr>
          <w:rFonts w:hint="eastAsia" w:hAnsi="宋体" w:cs="宋体"/>
          <w:bCs/>
          <w:color w:val="auto"/>
          <w:sz w:val="24"/>
          <w:szCs w:val="24"/>
          <w:highlight w:val="none"/>
        </w:rPr>
        <w:t>27.2成交通知书对采购人和成交供应商均具有法律效力。成交通知书发出后，采购人无正当理由改变成交结果，或者成交供应商无正当理由放弃成交的，将承担相应的法律责任。</w:t>
      </w:r>
    </w:p>
    <w:p>
      <w:pPr>
        <w:spacing w:line="400" w:lineRule="exact"/>
        <w:ind w:firstLine="490" w:firstLineChars="200"/>
        <w:rPr>
          <w:rFonts w:hint="eastAsia" w:hAnsi="宋体" w:cs="宋体"/>
          <w:bCs/>
          <w:color w:val="auto"/>
          <w:highlight w:val="none"/>
        </w:rPr>
      </w:pPr>
      <w:r>
        <w:rPr>
          <w:rFonts w:hint="eastAsia" w:hAnsi="宋体" w:cs="宋体"/>
          <w:bCs/>
          <w:color w:val="auto"/>
          <w:sz w:val="24"/>
          <w:szCs w:val="24"/>
          <w:highlight w:val="none"/>
        </w:rPr>
        <w:t>27.3成交供应商的响应文件作为无效响应文件处理或者有采购法律法规规章制度规定的成交无效情形的，采购人在取得有权主体的认定以后，有权宣布发出的成交通知书无效，并收回发出的成交通知书，依法重新确定成交供应商或者重新开展采购活动。</w:t>
      </w:r>
    </w:p>
    <w:p>
      <w:pPr>
        <w:pStyle w:val="4"/>
        <w:keepNext w:val="0"/>
        <w:keepLines w:val="0"/>
        <w:spacing w:line="400" w:lineRule="exact"/>
        <w:jc w:val="center"/>
        <w:rPr>
          <w:rFonts w:hint="eastAsia" w:ascii="宋体" w:hAnsi="宋体" w:eastAsia="宋体" w:cs="宋体"/>
          <w:color w:val="auto"/>
          <w:highlight w:val="none"/>
        </w:rPr>
      </w:pPr>
      <w:bookmarkStart w:id="122" w:name="_Toc4616460"/>
      <w:r>
        <w:rPr>
          <w:rFonts w:hint="eastAsia" w:ascii="宋体" w:hAnsi="宋体" w:eastAsia="宋体" w:cs="宋体"/>
          <w:color w:val="auto"/>
          <w:highlight w:val="none"/>
        </w:rPr>
        <w:t>七、合同事项</w:t>
      </w:r>
      <w:bookmarkEnd w:id="122"/>
    </w:p>
    <w:p>
      <w:pPr>
        <w:pStyle w:val="5"/>
        <w:keepNext w:val="0"/>
        <w:keepLines w:val="0"/>
        <w:spacing w:before="0" w:after="0" w:line="400" w:lineRule="exact"/>
        <w:ind w:firstLine="479" w:firstLineChars="196"/>
        <w:rPr>
          <w:rFonts w:hint="eastAsia" w:ascii="宋体" w:hAnsi="宋体" w:cs="宋体"/>
          <w:color w:val="auto"/>
          <w:sz w:val="24"/>
          <w:szCs w:val="24"/>
          <w:highlight w:val="none"/>
        </w:rPr>
      </w:pPr>
      <w:bookmarkStart w:id="123" w:name="_Toc430773927"/>
      <w:bookmarkStart w:id="124" w:name="_Toc101250646"/>
      <w:bookmarkStart w:id="125" w:name="_Toc4616461"/>
      <w:bookmarkStart w:id="126" w:name="_Toc101174151"/>
      <w:bookmarkStart w:id="127" w:name="_Toc209847069"/>
      <w:bookmarkStart w:id="128" w:name="_Toc101338364"/>
      <w:r>
        <w:rPr>
          <w:rFonts w:hint="eastAsia" w:ascii="宋体" w:hAnsi="宋体" w:cs="宋体"/>
          <w:color w:val="auto"/>
          <w:sz w:val="24"/>
          <w:szCs w:val="24"/>
          <w:highlight w:val="none"/>
        </w:rPr>
        <w:t>28.签订合同</w:t>
      </w:r>
      <w:bookmarkEnd w:id="123"/>
      <w:bookmarkEnd w:id="124"/>
      <w:bookmarkEnd w:id="125"/>
      <w:bookmarkEnd w:id="126"/>
      <w:bookmarkEnd w:id="127"/>
      <w:bookmarkEnd w:id="128"/>
    </w:p>
    <w:p>
      <w:pPr>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28.1 成交供应商应在成交通知书发出之日起三十日内与采购人签订采购合同。由于成交供应商的原因逾期未与采购人签订采购合同的，将视为放弃成交，取消其成交资格并将按相关规定进行处理。</w:t>
      </w:r>
    </w:p>
    <w:p>
      <w:pPr>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28.2 谈判文件、成交供应商的响应文件及双方确认的澄清文件等，均为有法律约束力的经济合同的组成部分。</w:t>
      </w:r>
    </w:p>
    <w:p>
      <w:pPr>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28.3 采购人不得向成交供应商提出任何不合理的要求，作为签订合同的条件，不得与成交供应商私下订立背离合同实质性内容的任何协议，所签订的合同不得对谈判文件和成交供应商响应文件确定的事项进行修改。</w:t>
      </w:r>
    </w:p>
    <w:p>
      <w:pPr>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28.4 成交供应商因不可抗力原因不能履行采购合同或放弃成交的，采购人可以与排在成交供应商之后第一位的成交候选人签订采购合同，以此类推。</w:t>
      </w:r>
    </w:p>
    <w:p>
      <w:pPr>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28.</w:t>
      </w:r>
      <w:r>
        <w:rPr>
          <w:rFonts w:hint="eastAsia" w:hAnsi="宋体" w:cs="宋体"/>
          <w:color w:val="auto"/>
          <w:sz w:val="24"/>
          <w:highlight w:val="none"/>
          <w:lang w:val="en-US" w:eastAsia="zh-CN"/>
        </w:rPr>
        <w:t>5</w:t>
      </w:r>
      <w:r>
        <w:rPr>
          <w:rFonts w:hint="eastAsia" w:hAnsi="宋体" w:cs="宋体"/>
          <w:color w:val="auto"/>
          <w:sz w:val="24"/>
          <w:highlight w:val="none"/>
        </w:rPr>
        <w:t xml:space="preserve"> 竞争性谈判文件、成交供应商提交的响应文件、谈判中的最后报价、成交供应商承诺书、成交通知书等均称为有法律约束力的合同组成内容。</w:t>
      </w:r>
    </w:p>
    <w:p>
      <w:pPr>
        <w:spacing w:line="400" w:lineRule="exact"/>
        <w:ind w:firstLine="490" w:firstLineChars="200"/>
        <w:rPr>
          <w:rFonts w:hint="eastAsia" w:hAnsi="宋体" w:cs="宋体"/>
          <w:color w:val="auto"/>
          <w:sz w:val="24"/>
          <w:highlight w:val="none"/>
        </w:rPr>
      </w:pPr>
    </w:p>
    <w:p>
      <w:pPr>
        <w:spacing w:line="400" w:lineRule="exact"/>
        <w:ind w:firstLine="490" w:firstLineChars="200"/>
        <w:outlineLvl w:val="2"/>
        <w:rPr>
          <w:rFonts w:hint="eastAsia" w:hAnsi="宋体" w:cs="宋体"/>
          <w:b/>
          <w:color w:val="auto"/>
          <w:sz w:val="24"/>
          <w:highlight w:val="none"/>
        </w:rPr>
      </w:pPr>
      <w:bookmarkStart w:id="129" w:name="_Toc4616462"/>
      <w:r>
        <w:rPr>
          <w:rFonts w:hint="eastAsia" w:hAnsi="宋体" w:cs="宋体"/>
          <w:b/>
          <w:color w:val="auto"/>
          <w:sz w:val="24"/>
          <w:highlight w:val="none"/>
        </w:rPr>
        <w:t>29.合同分包（实质性要求）</w:t>
      </w:r>
    </w:p>
    <w:p>
      <w:pPr>
        <w:spacing w:line="400" w:lineRule="exact"/>
        <w:ind w:firstLine="490" w:firstLineChars="200"/>
        <w:outlineLvl w:val="2"/>
        <w:rPr>
          <w:rFonts w:hint="eastAsia" w:hAnsi="宋体" w:cs="宋体"/>
          <w:b/>
          <w:color w:val="auto"/>
          <w:sz w:val="24"/>
          <w:highlight w:val="none"/>
        </w:rPr>
      </w:pPr>
      <w:r>
        <w:rPr>
          <w:rFonts w:hint="eastAsia" w:hAnsi="宋体" w:cs="宋体"/>
          <w:b/>
          <w:color w:val="auto"/>
          <w:sz w:val="24"/>
          <w:highlight w:val="none"/>
        </w:rPr>
        <w:t>本项目不允许分包</w:t>
      </w:r>
      <w:bookmarkEnd w:id="129"/>
    </w:p>
    <w:p>
      <w:pPr>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29.1 经采购人同意，成交供应商可以依法采取分包方式履行合同，但必须在响应文件中事前载明。这种要求应当在合同签订之前征得采购人同意，并且分包供应商履行的分包项目的品牌、规格型号及技术要求等，必须与成交的一致。</w:t>
      </w:r>
    </w:p>
    <w:p>
      <w:pPr>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分包履行合同的部分应当为采购项目的非主体、非关键性工作，不属于成交供应商的主要合同义务。</w:t>
      </w:r>
    </w:p>
    <w:p>
      <w:pPr>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29.2 采购合同实行分包履行的，成交供应商就采购项目和分包项目向采购人负责，分包供应商就分包项目承担责任。</w:t>
      </w:r>
    </w:p>
    <w:p>
      <w:pPr>
        <w:spacing w:line="400" w:lineRule="exact"/>
        <w:ind w:firstLine="490" w:firstLineChars="200"/>
        <w:rPr>
          <w:rFonts w:hint="eastAsia" w:hAnsi="宋体" w:cs="宋体"/>
          <w:color w:val="auto"/>
          <w:sz w:val="24"/>
          <w:highlight w:val="none"/>
        </w:rPr>
      </w:pPr>
    </w:p>
    <w:p>
      <w:pPr>
        <w:spacing w:line="400" w:lineRule="exact"/>
        <w:ind w:firstLine="490" w:firstLineChars="200"/>
        <w:outlineLvl w:val="2"/>
        <w:rPr>
          <w:rFonts w:hint="eastAsia" w:hAnsi="宋体" w:cs="宋体"/>
          <w:b/>
          <w:color w:val="auto"/>
          <w:sz w:val="24"/>
          <w:highlight w:val="none"/>
        </w:rPr>
      </w:pPr>
      <w:bookmarkStart w:id="130" w:name="_Toc4616463"/>
      <w:r>
        <w:rPr>
          <w:rFonts w:hint="eastAsia" w:hAnsi="宋体" w:cs="宋体"/>
          <w:b/>
          <w:color w:val="auto"/>
          <w:sz w:val="24"/>
          <w:highlight w:val="none"/>
        </w:rPr>
        <w:t>30.合同转包（实质性要求）</w:t>
      </w:r>
    </w:p>
    <w:p>
      <w:pPr>
        <w:spacing w:line="400" w:lineRule="exact"/>
        <w:ind w:firstLine="490" w:firstLineChars="200"/>
        <w:outlineLvl w:val="2"/>
        <w:rPr>
          <w:rFonts w:hint="eastAsia" w:hAnsi="宋体" w:cs="宋体"/>
          <w:b/>
          <w:color w:val="auto"/>
          <w:sz w:val="24"/>
          <w:highlight w:val="none"/>
        </w:rPr>
      </w:pPr>
      <w:r>
        <w:rPr>
          <w:rFonts w:hint="eastAsia" w:hAnsi="宋体" w:cs="宋体"/>
          <w:b/>
          <w:color w:val="auto"/>
          <w:sz w:val="24"/>
          <w:highlight w:val="none"/>
        </w:rPr>
        <w:t>本项目不允许转包</w:t>
      </w:r>
      <w:bookmarkEnd w:id="130"/>
    </w:p>
    <w:p>
      <w:pPr>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pPr>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成交供应商转包的，视同拒绝履行采购合同义务，将依法追究法律责任。</w:t>
      </w:r>
    </w:p>
    <w:p>
      <w:pPr>
        <w:spacing w:line="400" w:lineRule="exact"/>
        <w:ind w:firstLine="490" w:firstLineChars="200"/>
        <w:rPr>
          <w:rFonts w:hint="eastAsia" w:hAnsi="宋体" w:cs="宋体"/>
          <w:color w:val="auto"/>
          <w:sz w:val="24"/>
          <w:highlight w:val="none"/>
        </w:rPr>
      </w:pPr>
    </w:p>
    <w:p>
      <w:pPr>
        <w:spacing w:line="400" w:lineRule="exact"/>
        <w:ind w:firstLine="490" w:firstLineChars="200"/>
        <w:outlineLvl w:val="2"/>
        <w:rPr>
          <w:rFonts w:hint="eastAsia" w:hAnsi="宋体" w:cs="宋体"/>
          <w:b/>
          <w:color w:val="auto"/>
          <w:sz w:val="24"/>
          <w:highlight w:val="none"/>
        </w:rPr>
      </w:pPr>
      <w:bookmarkStart w:id="131" w:name="_Toc4616464"/>
      <w:r>
        <w:rPr>
          <w:rFonts w:hint="eastAsia" w:hAnsi="宋体" w:cs="宋体"/>
          <w:b/>
          <w:color w:val="auto"/>
          <w:sz w:val="24"/>
          <w:highlight w:val="none"/>
        </w:rPr>
        <w:t>31.补充合同</w:t>
      </w:r>
      <w:bookmarkEnd w:id="131"/>
    </w:p>
    <w:p>
      <w:pPr>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 xml:space="preserve">采购合同履行过程中，采购人需要追加与合同标的相同的货物或者服务的，在不改变合同其他条款的前提下，可以与成交供应商协商签订补充合同，但所有补充合同的采购金额不得超过原合同采购金额的百分之十，该补充合同应当在原采购合同履行过程中，不得在原采购合同履行结束后，且采购货物、工程和服务的名称、价格、履约方式、验收标准等必须与原采购合同一致。 </w:t>
      </w:r>
    </w:p>
    <w:p>
      <w:pPr>
        <w:spacing w:line="400" w:lineRule="exact"/>
        <w:rPr>
          <w:rFonts w:hint="eastAsia" w:hAnsi="宋体" w:cs="宋体"/>
          <w:color w:val="auto"/>
          <w:sz w:val="24"/>
          <w:highlight w:val="none"/>
        </w:rPr>
      </w:pPr>
    </w:p>
    <w:p>
      <w:pPr>
        <w:spacing w:line="400" w:lineRule="exact"/>
        <w:ind w:firstLine="490" w:firstLineChars="200"/>
        <w:outlineLvl w:val="2"/>
        <w:rPr>
          <w:rFonts w:hint="eastAsia" w:hAnsi="宋体" w:cs="宋体"/>
          <w:b/>
          <w:color w:val="auto"/>
          <w:sz w:val="24"/>
          <w:highlight w:val="none"/>
        </w:rPr>
      </w:pPr>
      <w:bookmarkStart w:id="132" w:name="_Toc4616465"/>
      <w:r>
        <w:rPr>
          <w:rFonts w:hint="eastAsia" w:hAnsi="宋体" w:cs="宋体"/>
          <w:b/>
          <w:color w:val="auto"/>
          <w:sz w:val="24"/>
          <w:highlight w:val="none"/>
        </w:rPr>
        <w:t>32.履约保证金（实质性要求）</w:t>
      </w:r>
      <w:bookmarkEnd w:id="132"/>
    </w:p>
    <w:p>
      <w:pPr>
        <w:spacing w:line="400" w:lineRule="exact"/>
        <w:ind w:firstLine="490" w:firstLineChars="200"/>
        <w:rPr>
          <w:rFonts w:hint="eastAsia" w:hAnsi="宋体"/>
          <w:color w:val="auto"/>
          <w:sz w:val="24"/>
          <w:szCs w:val="22"/>
          <w:highlight w:val="none"/>
        </w:rPr>
      </w:pPr>
      <w:bookmarkStart w:id="133" w:name="_Toc4616466"/>
      <w:r>
        <w:rPr>
          <w:rFonts w:hint="eastAsia" w:hAnsi="宋体"/>
          <w:color w:val="auto"/>
          <w:sz w:val="24"/>
          <w:szCs w:val="22"/>
          <w:highlight w:val="none"/>
        </w:rPr>
        <w:t>31.1 成交供应商应在合同签订之前交纳谈判文件规定数额的履约保证金。</w:t>
      </w:r>
    </w:p>
    <w:p>
      <w:pPr>
        <w:spacing w:line="400" w:lineRule="exact"/>
        <w:ind w:firstLine="490" w:firstLineChars="200"/>
        <w:rPr>
          <w:rFonts w:hint="eastAsia" w:hAnsi="宋体"/>
          <w:color w:val="auto"/>
          <w:sz w:val="24"/>
          <w:szCs w:val="22"/>
          <w:highlight w:val="none"/>
        </w:rPr>
      </w:pPr>
      <w:r>
        <w:rPr>
          <w:rFonts w:hint="eastAsia" w:hAnsi="宋体"/>
          <w:color w:val="auto"/>
          <w:sz w:val="24"/>
          <w:szCs w:val="22"/>
          <w:highlight w:val="none"/>
        </w:rPr>
        <w:t>31.2 如果成交供应商在规定的合同签订时间内，没有按照谈判文件的规定交纳履约保证金，且又无正当理由的，将视为放弃成交。</w:t>
      </w:r>
    </w:p>
    <w:p>
      <w:pPr>
        <w:spacing w:line="400" w:lineRule="exact"/>
        <w:ind w:firstLine="490" w:firstLineChars="200"/>
        <w:outlineLvl w:val="2"/>
        <w:rPr>
          <w:rFonts w:hint="eastAsia" w:hAnsi="宋体" w:cs="宋体"/>
          <w:b/>
          <w:color w:val="auto"/>
          <w:sz w:val="24"/>
          <w:highlight w:val="none"/>
        </w:rPr>
      </w:pPr>
      <w:r>
        <w:rPr>
          <w:rFonts w:hint="eastAsia" w:hAnsi="宋体" w:cs="宋体"/>
          <w:b/>
          <w:color w:val="auto"/>
          <w:sz w:val="24"/>
          <w:highlight w:val="none"/>
        </w:rPr>
        <w:t>33.</w:t>
      </w:r>
      <w:bookmarkEnd w:id="133"/>
      <w:bookmarkStart w:id="134" w:name="_Toc4616468"/>
      <w:r>
        <w:rPr>
          <w:rFonts w:hint="eastAsia" w:hAnsi="宋体" w:cs="宋体"/>
          <w:b/>
          <w:color w:val="auto"/>
          <w:sz w:val="24"/>
          <w:highlight w:val="none"/>
        </w:rPr>
        <w:t>履行合同</w:t>
      </w:r>
      <w:bookmarkEnd w:id="134"/>
    </w:p>
    <w:p>
      <w:pPr>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33.1 成交供应商与采购人签订合同后，合同双方应严格执行合同条款，履行合同规定的义务，保证合同的顺利完成。</w:t>
      </w:r>
    </w:p>
    <w:p>
      <w:pPr>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33.2 在合同履行过程中，如发生合同纠纷，合同双方应参照《合同法》的有关规定进行处理。</w:t>
      </w:r>
    </w:p>
    <w:p>
      <w:pPr>
        <w:spacing w:line="400" w:lineRule="exact"/>
        <w:ind w:firstLine="490" w:firstLineChars="200"/>
        <w:rPr>
          <w:rFonts w:hint="eastAsia" w:hAnsi="宋体" w:cs="宋体"/>
          <w:color w:val="auto"/>
          <w:sz w:val="24"/>
          <w:highlight w:val="none"/>
        </w:rPr>
      </w:pPr>
    </w:p>
    <w:p>
      <w:pPr>
        <w:spacing w:line="400" w:lineRule="exact"/>
        <w:ind w:firstLine="490" w:firstLineChars="200"/>
        <w:outlineLvl w:val="2"/>
        <w:rPr>
          <w:rFonts w:hint="eastAsia" w:hAnsi="宋体" w:cs="宋体"/>
          <w:b/>
          <w:color w:val="auto"/>
          <w:sz w:val="24"/>
          <w:highlight w:val="none"/>
        </w:rPr>
      </w:pPr>
      <w:bookmarkStart w:id="135" w:name="_Toc4616469"/>
      <w:r>
        <w:rPr>
          <w:rFonts w:hint="eastAsia" w:hAnsi="宋体" w:cs="宋体"/>
          <w:b/>
          <w:color w:val="auto"/>
          <w:sz w:val="24"/>
          <w:highlight w:val="none"/>
        </w:rPr>
        <w:t>34.验收</w:t>
      </w:r>
      <w:bookmarkEnd w:id="135"/>
    </w:p>
    <w:p>
      <w:pPr>
        <w:spacing w:line="400" w:lineRule="exact"/>
        <w:ind w:firstLine="490" w:firstLineChars="200"/>
        <w:rPr>
          <w:rFonts w:hint="eastAsia" w:hAnsi="宋体" w:cs="宋体"/>
          <w:color w:val="auto"/>
          <w:sz w:val="24"/>
          <w:highlight w:val="none"/>
        </w:rPr>
      </w:pPr>
      <w:r>
        <w:rPr>
          <w:rFonts w:hint="eastAsia" w:hAnsi="宋体" w:cs="宋体"/>
          <w:color w:val="auto"/>
          <w:sz w:val="24"/>
          <w:szCs w:val="22"/>
          <w:highlight w:val="none"/>
        </w:rPr>
        <w:t>详见谈判文件第五章</w:t>
      </w:r>
    </w:p>
    <w:p>
      <w:pPr>
        <w:spacing w:line="400" w:lineRule="exact"/>
        <w:ind w:firstLine="490" w:firstLineChars="200"/>
        <w:outlineLvl w:val="2"/>
        <w:rPr>
          <w:rFonts w:hint="eastAsia" w:hAnsi="宋体" w:cs="宋体"/>
          <w:b/>
          <w:color w:val="auto"/>
          <w:sz w:val="24"/>
          <w:highlight w:val="none"/>
        </w:rPr>
      </w:pPr>
      <w:bookmarkStart w:id="136" w:name="_Toc4616470"/>
      <w:r>
        <w:rPr>
          <w:rFonts w:hint="eastAsia" w:hAnsi="宋体" w:cs="宋体"/>
          <w:b/>
          <w:color w:val="auto"/>
          <w:sz w:val="24"/>
          <w:highlight w:val="none"/>
        </w:rPr>
        <w:t>35.资金支付</w:t>
      </w:r>
      <w:bookmarkEnd w:id="136"/>
    </w:p>
    <w:p>
      <w:pPr>
        <w:spacing w:line="400" w:lineRule="exact"/>
        <w:ind w:firstLine="490" w:firstLineChars="200"/>
        <w:rPr>
          <w:rFonts w:hint="eastAsia" w:hAnsi="宋体" w:cs="宋体"/>
          <w:color w:val="auto"/>
          <w:sz w:val="24"/>
          <w:highlight w:val="none"/>
        </w:rPr>
      </w:pPr>
      <w:r>
        <w:rPr>
          <w:rFonts w:hint="eastAsia" w:hAnsi="宋体" w:cs="宋体"/>
          <w:color w:val="auto"/>
          <w:sz w:val="24"/>
          <w:highlight w:val="none"/>
        </w:rPr>
        <w:t>采购人将按照采购合同规定，及时向成交供应商支付采购资金。</w:t>
      </w:r>
    </w:p>
    <w:p>
      <w:pPr>
        <w:spacing w:line="400" w:lineRule="exact"/>
        <w:ind w:firstLine="490" w:firstLineChars="200"/>
        <w:rPr>
          <w:rFonts w:hint="eastAsia" w:hAnsi="宋体" w:cs="宋体"/>
          <w:color w:val="auto"/>
          <w:highlight w:val="none"/>
        </w:rPr>
      </w:pPr>
      <w:r>
        <w:rPr>
          <w:rFonts w:hint="eastAsia" w:hAnsi="宋体" w:cs="宋体"/>
          <w:color w:val="auto"/>
          <w:sz w:val="24"/>
          <w:highlight w:val="none"/>
        </w:rPr>
        <w:t>支付方式为：</w:t>
      </w:r>
      <w:r>
        <w:rPr>
          <w:rFonts w:hint="eastAsia" w:hAnsi="宋体" w:cs="宋体"/>
          <w:color w:val="auto"/>
          <w:sz w:val="24"/>
          <w:szCs w:val="22"/>
          <w:highlight w:val="none"/>
        </w:rPr>
        <w:t>详见谈判文件第五章。</w:t>
      </w:r>
    </w:p>
    <w:p>
      <w:pPr>
        <w:pStyle w:val="4"/>
        <w:keepNext w:val="0"/>
        <w:keepLines w:val="0"/>
        <w:spacing w:before="0" w:after="0" w:line="400" w:lineRule="exact"/>
        <w:jc w:val="center"/>
        <w:rPr>
          <w:rFonts w:hint="eastAsia" w:ascii="宋体" w:hAnsi="宋体" w:eastAsia="宋体" w:cs="宋体"/>
          <w:color w:val="auto"/>
          <w:sz w:val="24"/>
          <w:highlight w:val="none"/>
        </w:rPr>
      </w:pPr>
      <w:bookmarkStart w:id="137" w:name="_Toc4616471"/>
      <w:r>
        <w:rPr>
          <w:rFonts w:hint="eastAsia" w:ascii="宋体" w:hAnsi="宋体" w:eastAsia="宋体" w:cs="宋体"/>
          <w:color w:val="auto"/>
          <w:highlight w:val="none"/>
        </w:rPr>
        <w:t>八、谈判纪律要求</w:t>
      </w:r>
      <w:bookmarkEnd w:id="137"/>
    </w:p>
    <w:p>
      <w:pPr>
        <w:tabs>
          <w:tab w:val="left" w:pos="851"/>
        </w:tabs>
        <w:spacing w:line="360" w:lineRule="auto"/>
        <w:ind w:firstLine="490" w:firstLineChars="200"/>
        <w:outlineLvl w:val="2"/>
        <w:rPr>
          <w:rFonts w:hint="eastAsia" w:hAnsi="宋体" w:cs="宋体"/>
          <w:b/>
          <w:color w:val="auto"/>
          <w:sz w:val="24"/>
          <w:highlight w:val="none"/>
        </w:rPr>
      </w:pPr>
      <w:bookmarkStart w:id="138" w:name="_Toc4616472"/>
      <w:r>
        <w:rPr>
          <w:rFonts w:hint="eastAsia" w:hAnsi="宋体" w:cs="宋体"/>
          <w:b/>
          <w:color w:val="auto"/>
          <w:sz w:val="24"/>
          <w:highlight w:val="none"/>
        </w:rPr>
        <w:t>36.供应商不得具有的情形</w:t>
      </w:r>
      <w:bookmarkEnd w:id="138"/>
    </w:p>
    <w:p>
      <w:pPr>
        <w:tabs>
          <w:tab w:val="left" w:pos="851"/>
        </w:tabs>
        <w:spacing w:line="360" w:lineRule="auto"/>
        <w:ind w:firstLine="490" w:firstLineChars="200"/>
        <w:rPr>
          <w:rFonts w:hint="eastAsia" w:hAnsi="宋体" w:cs="宋体"/>
          <w:color w:val="auto"/>
          <w:sz w:val="24"/>
          <w:highlight w:val="none"/>
        </w:rPr>
      </w:pPr>
      <w:r>
        <w:rPr>
          <w:rFonts w:hint="eastAsia" w:hAnsi="宋体" w:cs="宋体"/>
          <w:color w:val="auto"/>
          <w:sz w:val="24"/>
          <w:highlight w:val="none"/>
        </w:rPr>
        <w:t>供应商参加本项目谈判不得有下列情形：</w:t>
      </w:r>
    </w:p>
    <w:p>
      <w:pPr>
        <w:spacing w:line="400" w:lineRule="exact"/>
        <w:ind w:firstLine="490" w:firstLineChars="200"/>
        <w:rPr>
          <w:rFonts w:hint="eastAsia" w:hAnsi="宋体" w:cs="宋体"/>
          <w:color w:val="auto"/>
          <w:sz w:val="24"/>
          <w:szCs w:val="22"/>
          <w:highlight w:val="none"/>
        </w:rPr>
      </w:pPr>
      <w:r>
        <w:rPr>
          <w:rFonts w:hint="eastAsia" w:hAnsi="宋体" w:cs="宋体"/>
          <w:color w:val="auto"/>
          <w:sz w:val="24"/>
          <w:szCs w:val="22"/>
          <w:highlight w:val="none"/>
        </w:rPr>
        <w:t>（1）提供虚假材料谋取成交；</w:t>
      </w:r>
    </w:p>
    <w:p>
      <w:pPr>
        <w:spacing w:line="400" w:lineRule="exact"/>
        <w:ind w:firstLine="490" w:firstLineChars="200"/>
        <w:rPr>
          <w:rFonts w:hint="eastAsia" w:hAnsi="宋体" w:cs="宋体"/>
          <w:color w:val="auto"/>
          <w:sz w:val="24"/>
          <w:szCs w:val="22"/>
          <w:highlight w:val="none"/>
        </w:rPr>
      </w:pPr>
      <w:r>
        <w:rPr>
          <w:rFonts w:hint="eastAsia" w:hAnsi="宋体" w:cs="宋体"/>
          <w:color w:val="auto"/>
          <w:sz w:val="24"/>
          <w:szCs w:val="22"/>
          <w:highlight w:val="none"/>
        </w:rPr>
        <w:t>（2）采取不正当手段诋毁、排挤其他供应商；</w:t>
      </w:r>
    </w:p>
    <w:p>
      <w:pPr>
        <w:spacing w:line="400" w:lineRule="exact"/>
        <w:ind w:firstLine="490" w:firstLineChars="200"/>
        <w:rPr>
          <w:rFonts w:hint="eastAsia" w:hAnsi="宋体" w:cs="宋体"/>
          <w:color w:val="auto"/>
          <w:sz w:val="24"/>
          <w:szCs w:val="22"/>
          <w:highlight w:val="none"/>
        </w:rPr>
      </w:pPr>
      <w:r>
        <w:rPr>
          <w:rFonts w:hint="eastAsia" w:hAnsi="宋体" w:cs="宋体"/>
          <w:color w:val="auto"/>
          <w:sz w:val="24"/>
          <w:szCs w:val="22"/>
          <w:highlight w:val="none"/>
        </w:rPr>
        <w:t>（3）与采购人、或其他供应商恶意串通；</w:t>
      </w:r>
    </w:p>
    <w:p>
      <w:pPr>
        <w:spacing w:line="400" w:lineRule="exact"/>
        <w:ind w:firstLine="490" w:firstLineChars="200"/>
        <w:rPr>
          <w:rFonts w:hint="eastAsia" w:hAnsi="宋体" w:cs="宋体"/>
          <w:color w:val="auto"/>
          <w:sz w:val="24"/>
          <w:szCs w:val="22"/>
          <w:highlight w:val="none"/>
        </w:rPr>
      </w:pPr>
      <w:r>
        <w:rPr>
          <w:rFonts w:hint="eastAsia" w:hAnsi="宋体" w:cs="宋体"/>
          <w:color w:val="auto"/>
          <w:sz w:val="24"/>
          <w:szCs w:val="22"/>
          <w:highlight w:val="none"/>
        </w:rPr>
        <w:t>（4）向采购人、谈判小组成员行贿或者提供其他不正当利益；</w:t>
      </w:r>
    </w:p>
    <w:p>
      <w:pPr>
        <w:spacing w:line="400" w:lineRule="exact"/>
        <w:ind w:firstLine="490" w:firstLineChars="200"/>
        <w:rPr>
          <w:rFonts w:hint="eastAsia" w:hAnsi="宋体" w:cs="宋体"/>
          <w:color w:val="auto"/>
          <w:sz w:val="24"/>
          <w:szCs w:val="22"/>
          <w:highlight w:val="none"/>
        </w:rPr>
      </w:pPr>
      <w:r>
        <w:rPr>
          <w:rFonts w:hint="eastAsia" w:hAnsi="宋体" w:cs="宋体"/>
          <w:color w:val="auto"/>
          <w:sz w:val="24"/>
          <w:szCs w:val="22"/>
          <w:highlight w:val="none"/>
        </w:rPr>
        <w:t>（5）在谈判过程中与采购人进行协商；</w:t>
      </w:r>
    </w:p>
    <w:p>
      <w:pPr>
        <w:spacing w:line="400" w:lineRule="exact"/>
        <w:ind w:firstLine="490" w:firstLineChars="200"/>
        <w:rPr>
          <w:rFonts w:hint="eastAsia" w:hAnsi="宋体" w:cs="宋体"/>
          <w:color w:val="auto"/>
          <w:sz w:val="24"/>
          <w:szCs w:val="22"/>
          <w:highlight w:val="none"/>
        </w:rPr>
      </w:pPr>
      <w:r>
        <w:rPr>
          <w:rFonts w:hint="eastAsia" w:hAnsi="宋体" w:cs="宋体"/>
          <w:color w:val="auto"/>
          <w:sz w:val="24"/>
          <w:szCs w:val="22"/>
          <w:highlight w:val="none"/>
        </w:rPr>
        <w:t>（6）成交后无正当理由拒不与采购人签订采购合同；</w:t>
      </w:r>
    </w:p>
    <w:p>
      <w:pPr>
        <w:spacing w:line="400" w:lineRule="exact"/>
        <w:ind w:firstLine="490" w:firstLineChars="200"/>
        <w:rPr>
          <w:rFonts w:hint="eastAsia" w:hAnsi="宋体" w:cs="宋体"/>
          <w:color w:val="auto"/>
          <w:sz w:val="24"/>
          <w:szCs w:val="22"/>
          <w:highlight w:val="none"/>
        </w:rPr>
      </w:pPr>
      <w:r>
        <w:rPr>
          <w:rFonts w:hint="eastAsia" w:hAnsi="宋体" w:cs="宋体"/>
          <w:color w:val="auto"/>
          <w:sz w:val="24"/>
          <w:szCs w:val="22"/>
          <w:highlight w:val="none"/>
        </w:rPr>
        <w:t>（7）未按照谈判文件确定的事项签订采购合同；</w:t>
      </w:r>
    </w:p>
    <w:p>
      <w:pPr>
        <w:spacing w:line="400" w:lineRule="exact"/>
        <w:ind w:firstLine="490" w:firstLineChars="200"/>
        <w:rPr>
          <w:rFonts w:hint="eastAsia" w:hAnsi="宋体" w:cs="宋体"/>
          <w:color w:val="auto"/>
          <w:sz w:val="24"/>
          <w:szCs w:val="22"/>
          <w:highlight w:val="none"/>
        </w:rPr>
      </w:pPr>
      <w:r>
        <w:rPr>
          <w:rFonts w:hint="eastAsia" w:hAnsi="宋体" w:cs="宋体"/>
          <w:color w:val="auto"/>
          <w:sz w:val="24"/>
          <w:szCs w:val="22"/>
          <w:highlight w:val="none"/>
        </w:rPr>
        <w:t>（8）将采购合同转包或者违规分包；</w:t>
      </w:r>
    </w:p>
    <w:p>
      <w:pPr>
        <w:spacing w:line="400" w:lineRule="exact"/>
        <w:ind w:firstLine="490" w:firstLineChars="200"/>
        <w:rPr>
          <w:rFonts w:hint="eastAsia" w:hAnsi="宋体" w:cs="宋体"/>
          <w:color w:val="auto"/>
          <w:sz w:val="24"/>
          <w:szCs w:val="22"/>
          <w:highlight w:val="none"/>
        </w:rPr>
      </w:pPr>
      <w:r>
        <w:rPr>
          <w:rFonts w:hint="eastAsia" w:hAnsi="宋体" w:cs="宋体"/>
          <w:color w:val="auto"/>
          <w:sz w:val="24"/>
          <w:szCs w:val="22"/>
          <w:highlight w:val="none"/>
        </w:rPr>
        <w:t>（9）提供假冒伪劣产品；</w:t>
      </w:r>
    </w:p>
    <w:p>
      <w:pPr>
        <w:spacing w:line="400" w:lineRule="exact"/>
        <w:ind w:firstLine="490" w:firstLineChars="200"/>
        <w:rPr>
          <w:rFonts w:hint="eastAsia" w:hAnsi="宋体" w:cs="宋体"/>
          <w:color w:val="auto"/>
          <w:sz w:val="24"/>
          <w:szCs w:val="22"/>
          <w:highlight w:val="none"/>
        </w:rPr>
      </w:pPr>
      <w:r>
        <w:rPr>
          <w:rFonts w:hint="eastAsia" w:hAnsi="宋体" w:cs="宋体"/>
          <w:color w:val="auto"/>
          <w:sz w:val="24"/>
          <w:szCs w:val="22"/>
          <w:highlight w:val="none"/>
        </w:rPr>
        <w:t>（10）擅自变更、中止或者终止采购合同；</w:t>
      </w:r>
    </w:p>
    <w:p>
      <w:pPr>
        <w:spacing w:line="400" w:lineRule="exact"/>
        <w:ind w:firstLine="490" w:firstLineChars="200"/>
        <w:rPr>
          <w:rFonts w:hint="eastAsia" w:hAnsi="宋体" w:cs="宋体"/>
          <w:color w:val="auto"/>
          <w:sz w:val="24"/>
          <w:szCs w:val="22"/>
          <w:highlight w:val="none"/>
        </w:rPr>
      </w:pPr>
      <w:r>
        <w:rPr>
          <w:rFonts w:hint="eastAsia" w:hAnsi="宋体" w:cs="宋体"/>
          <w:color w:val="auto"/>
          <w:sz w:val="24"/>
          <w:szCs w:val="22"/>
          <w:highlight w:val="none"/>
        </w:rPr>
        <w:t>（11）拒绝有关部门的监督检查或者向监督检查部门提供虚假情况；</w:t>
      </w:r>
    </w:p>
    <w:p>
      <w:pPr>
        <w:spacing w:line="400" w:lineRule="exact"/>
        <w:ind w:firstLine="490" w:firstLineChars="200"/>
        <w:rPr>
          <w:rFonts w:hint="eastAsia" w:hAnsi="宋体" w:cs="宋体"/>
          <w:color w:val="auto"/>
          <w:sz w:val="24"/>
          <w:szCs w:val="22"/>
          <w:highlight w:val="none"/>
        </w:rPr>
      </w:pPr>
      <w:r>
        <w:rPr>
          <w:rFonts w:hint="eastAsia" w:hAnsi="宋体" w:cs="宋体"/>
          <w:color w:val="auto"/>
          <w:sz w:val="24"/>
          <w:szCs w:val="22"/>
          <w:highlight w:val="none"/>
        </w:rPr>
        <w:t>（12）法律法规规定的其他情形。</w:t>
      </w:r>
    </w:p>
    <w:p>
      <w:pPr>
        <w:spacing w:line="400" w:lineRule="exact"/>
        <w:ind w:firstLine="490" w:firstLineChars="200"/>
        <w:rPr>
          <w:rFonts w:hint="eastAsia" w:hAnsi="宋体" w:cs="宋体"/>
          <w:color w:val="auto"/>
          <w:sz w:val="24"/>
          <w:szCs w:val="22"/>
          <w:highlight w:val="none"/>
        </w:rPr>
      </w:pPr>
      <w:r>
        <w:rPr>
          <w:rFonts w:hint="eastAsia" w:hAnsi="宋体" w:cs="宋体"/>
          <w:color w:val="auto"/>
          <w:sz w:val="24"/>
          <w:szCs w:val="22"/>
          <w:highlight w:val="none"/>
        </w:rPr>
        <w:t>供应商有上述情形的，按照规定追究法律责任，具备（1）-（10）条情形之一的，同时将取消被确认为成交供应商的资格或者认定成交无效。</w:t>
      </w:r>
    </w:p>
    <w:p>
      <w:pPr>
        <w:tabs>
          <w:tab w:val="left" w:pos="851"/>
        </w:tabs>
        <w:spacing w:line="360" w:lineRule="auto"/>
        <w:jc w:val="center"/>
        <w:outlineLvl w:val="1"/>
        <w:rPr>
          <w:rFonts w:hint="eastAsia" w:hAnsi="宋体" w:cs="宋体"/>
          <w:color w:val="auto"/>
          <w:sz w:val="24"/>
          <w:highlight w:val="none"/>
        </w:rPr>
      </w:pPr>
      <w:bookmarkStart w:id="139" w:name="_Toc4616473"/>
      <w:r>
        <w:rPr>
          <w:rFonts w:hint="eastAsia" w:hAnsi="宋体" w:cs="宋体"/>
          <w:b/>
          <w:color w:val="auto"/>
          <w:sz w:val="32"/>
          <w:szCs w:val="32"/>
          <w:highlight w:val="none"/>
        </w:rPr>
        <w:t>九、</w:t>
      </w:r>
      <w:bookmarkEnd w:id="139"/>
      <w:bookmarkStart w:id="140" w:name="_Toc4616475"/>
      <w:r>
        <w:rPr>
          <w:rFonts w:hint="eastAsia" w:hAnsi="宋体" w:cs="宋体"/>
          <w:b/>
          <w:color w:val="auto"/>
          <w:sz w:val="32"/>
          <w:szCs w:val="32"/>
          <w:highlight w:val="none"/>
        </w:rPr>
        <w:t>其  他</w:t>
      </w:r>
      <w:bookmarkEnd w:id="140"/>
    </w:p>
    <w:p>
      <w:pPr>
        <w:tabs>
          <w:tab w:val="left" w:pos="851"/>
        </w:tabs>
        <w:ind w:firstLine="493"/>
        <w:jc w:val="left"/>
        <w:outlineLvl w:val="2"/>
        <w:rPr>
          <w:rFonts w:hint="eastAsia" w:hAnsi="宋体" w:cs="宋体"/>
          <w:color w:val="auto"/>
          <w:sz w:val="24"/>
          <w:szCs w:val="22"/>
          <w:highlight w:val="none"/>
        </w:rPr>
      </w:pPr>
      <w:bookmarkStart w:id="141" w:name="_Toc4616476"/>
      <w:r>
        <w:rPr>
          <w:rFonts w:hint="eastAsia" w:hAnsi="宋体" w:cs="宋体"/>
          <w:color w:val="auto"/>
          <w:sz w:val="24"/>
          <w:szCs w:val="22"/>
          <w:highlight w:val="none"/>
        </w:rPr>
        <w:t>37.本谈判文件中所引相关法律制度规定，在采购中有变化的，按照变化后的相关法律制度规定执行。本章规定的内容条款，在本项目递交响应文件截止时间届满后，因相关法律制度规定的变化导致不符合相关法律制度规定的，直接按照变化后的相关法律制度规定执行，本谈判文件不再做调整。</w:t>
      </w:r>
      <w:bookmarkEnd w:id="141"/>
    </w:p>
    <w:p>
      <w:pPr>
        <w:tabs>
          <w:tab w:val="left" w:pos="851"/>
        </w:tabs>
        <w:ind w:firstLine="493"/>
        <w:jc w:val="left"/>
        <w:outlineLvl w:val="2"/>
        <w:rPr>
          <w:rFonts w:hint="eastAsia" w:hAnsi="宋体" w:cs="宋体"/>
          <w:color w:val="auto"/>
          <w:sz w:val="24"/>
          <w:szCs w:val="22"/>
          <w:highlight w:val="none"/>
        </w:rPr>
      </w:pPr>
      <w:bookmarkStart w:id="142" w:name="_Toc4616477"/>
      <w:r>
        <w:rPr>
          <w:rFonts w:hint="eastAsia" w:hAnsi="宋体" w:cs="宋体"/>
          <w:color w:val="auto"/>
          <w:sz w:val="24"/>
          <w:szCs w:val="22"/>
          <w:highlight w:val="none"/>
        </w:rPr>
        <w:t>38.（实质性要求）国家或行业主管部门对供应商和采购产品的技术标准、质量标准和资格资质条件等有强制性规定的，必须符合其要求。</w:t>
      </w:r>
      <w:bookmarkEnd w:id="142"/>
    </w:p>
    <w:p>
      <w:pPr>
        <w:ind w:firstLine="490" w:firstLineChars="200"/>
        <w:jc w:val="left"/>
        <w:outlineLvl w:val="2"/>
        <w:rPr>
          <w:rFonts w:hint="eastAsia" w:hAnsi="宋体" w:cs="宋体"/>
          <w:b/>
          <w:bCs/>
          <w:color w:val="auto"/>
          <w:sz w:val="24"/>
          <w:szCs w:val="22"/>
          <w:highlight w:val="none"/>
        </w:rPr>
      </w:pPr>
      <w:bookmarkStart w:id="143" w:name="_Toc4616478"/>
      <w:bookmarkStart w:id="144" w:name="_Toc2446"/>
      <w:r>
        <w:rPr>
          <w:rFonts w:hint="eastAsia" w:hAnsi="宋体" w:cs="宋体"/>
          <w:b/>
          <w:bCs/>
          <w:color w:val="auto"/>
          <w:sz w:val="24"/>
          <w:szCs w:val="22"/>
          <w:highlight w:val="none"/>
        </w:rPr>
        <w:t>39.本次采购文件中加注（实质性要求）的条款，若未明确要求提供证明材料或承诺函，视为仅约束成交人，由成交人和采购人签订合同前进行核实。</w:t>
      </w:r>
      <w:bookmarkEnd w:id="143"/>
    </w:p>
    <w:p>
      <w:pPr>
        <w:jc w:val="center"/>
        <w:outlineLvl w:val="0"/>
        <w:rPr>
          <w:rFonts w:hint="eastAsia" w:hAnsi="宋体" w:cs="宋体"/>
          <w:b/>
          <w:color w:val="auto"/>
          <w:sz w:val="32"/>
          <w:szCs w:val="32"/>
          <w:highlight w:val="none"/>
        </w:rPr>
      </w:pPr>
      <w:r>
        <w:rPr>
          <w:rFonts w:hint="eastAsia" w:hAnsi="宋体" w:cs="宋体"/>
          <w:b/>
          <w:color w:val="auto"/>
          <w:sz w:val="32"/>
          <w:szCs w:val="32"/>
          <w:highlight w:val="none"/>
        </w:rPr>
        <w:br w:type="page"/>
      </w:r>
      <w:bookmarkStart w:id="145" w:name="_Toc8317"/>
      <w:bookmarkStart w:id="146" w:name="_Toc7243"/>
      <w:bookmarkStart w:id="147" w:name="_Toc216"/>
      <w:bookmarkStart w:id="148" w:name="_Toc3027"/>
      <w:bookmarkStart w:id="149" w:name="_Toc12054"/>
      <w:bookmarkStart w:id="150" w:name="_Toc21317"/>
      <w:bookmarkStart w:id="151" w:name="_Toc7599"/>
      <w:bookmarkStart w:id="152" w:name="_Toc5269_WPSOffice_Level1"/>
      <w:bookmarkStart w:id="153" w:name="_Toc6958"/>
      <w:bookmarkStart w:id="154" w:name="_Toc4616479"/>
      <w:r>
        <w:rPr>
          <w:rFonts w:hint="eastAsia" w:hAnsi="宋体" w:cs="宋体"/>
          <w:b/>
          <w:color w:val="auto"/>
          <w:sz w:val="36"/>
          <w:szCs w:val="36"/>
          <w:highlight w:val="none"/>
        </w:rPr>
        <w:t>第三章  供应商资格条件要求</w:t>
      </w:r>
      <w:bookmarkEnd w:id="144"/>
      <w:bookmarkEnd w:id="145"/>
      <w:bookmarkEnd w:id="146"/>
      <w:bookmarkEnd w:id="147"/>
      <w:bookmarkEnd w:id="148"/>
      <w:bookmarkEnd w:id="149"/>
      <w:bookmarkEnd w:id="150"/>
      <w:bookmarkEnd w:id="151"/>
      <w:bookmarkEnd w:id="152"/>
      <w:bookmarkEnd w:id="153"/>
      <w:bookmarkEnd w:id="154"/>
    </w:p>
    <w:p>
      <w:pPr>
        <w:spacing w:line="360" w:lineRule="auto"/>
        <w:ind w:firstLine="641" w:firstLineChars="225"/>
        <w:rPr>
          <w:rFonts w:hint="eastAsia" w:hAnsi="宋体" w:cs="宋体"/>
          <w:b/>
          <w:bCs/>
          <w:color w:val="auto"/>
          <w:sz w:val="28"/>
          <w:szCs w:val="28"/>
          <w:highlight w:val="none"/>
        </w:rPr>
      </w:pPr>
      <w:r>
        <w:rPr>
          <w:rFonts w:hint="eastAsia" w:hAnsi="宋体" w:cs="宋体"/>
          <w:b/>
          <w:bCs/>
          <w:color w:val="auto"/>
          <w:sz w:val="28"/>
          <w:szCs w:val="28"/>
          <w:highlight w:val="none"/>
        </w:rPr>
        <w:t>一、参加谈判的供应商应具备下列资格条件：</w:t>
      </w:r>
    </w:p>
    <w:p>
      <w:pPr>
        <w:pStyle w:val="16"/>
        <w:wordWrap w:val="0"/>
        <w:spacing w:line="400" w:lineRule="exact"/>
        <w:ind w:firstLine="612" w:firstLineChars="250"/>
        <w:rPr>
          <w:rFonts w:hint="eastAsia" w:hAnsi="宋体" w:cs="宋体"/>
          <w:color w:val="FF0000"/>
          <w:sz w:val="24"/>
        </w:rPr>
      </w:pPr>
      <w:r>
        <w:rPr>
          <w:rFonts w:hint="eastAsia" w:hAnsi="宋体" w:cs="宋体"/>
          <w:color w:val="FF0000"/>
          <w:sz w:val="24"/>
        </w:rPr>
        <w:t>1、具有独立承担民事责任的能力；</w:t>
      </w:r>
    </w:p>
    <w:p>
      <w:pPr>
        <w:tabs>
          <w:tab w:val="left" w:pos="7665"/>
        </w:tabs>
        <w:wordWrap w:val="0"/>
        <w:spacing w:line="400" w:lineRule="exact"/>
        <w:ind w:firstLine="612" w:firstLineChars="250"/>
        <w:rPr>
          <w:rFonts w:hint="eastAsia" w:hAnsi="宋体" w:cs="宋体"/>
          <w:color w:val="FF0000"/>
          <w:sz w:val="24"/>
        </w:rPr>
      </w:pPr>
      <w:r>
        <w:rPr>
          <w:rFonts w:hint="eastAsia" w:hAnsi="宋体" w:cs="宋体"/>
          <w:color w:val="FF0000"/>
          <w:sz w:val="24"/>
        </w:rPr>
        <w:t>2、具有良好的商业信誉和健全的财务会计制度；</w:t>
      </w:r>
    </w:p>
    <w:p>
      <w:pPr>
        <w:tabs>
          <w:tab w:val="left" w:pos="7665"/>
        </w:tabs>
        <w:wordWrap w:val="0"/>
        <w:spacing w:line="400" w:lineRule="exact"/>
        <w:ind w:firstLine="612" w:firstLineChars="250"/>
        <w:rPr>
          <w:rFonts w:hint="eastAsia" w:hAnsi="宋体" w:cs="宋体"/>
          <w:color w:val="FF0000"/>
          <w:sz w:val="24"/>
        </w:rPr>
      </w:pPr>
      <w:r>
        <w:rPr>
          <w:rFonts w:hint="eastAsia" w:hAnsi="宋体" w:cs="宋体"/>
          <w:color w:val="FF0000"/>
          <w:sz w:val="24"/>
        </w:rPr>
        <w:t>3、具有履行合同所必须的设备和专业技术能力；</w:t>
      </w:r>
    </w:p>
    <w:p>
      <w:pPr>
        <w:tabs>
          <w:tab w:val="left" w:pos="7665"/>
        </w:tabs>
        <w:wordWrap w:val="0"/>
        <w:spacing w:line="400" w:lineRule="exact"/>
        <w:ind w:firstLine="612" w:firstLineChars="250"/>
        <w:rPr>
          <w:rFonts w:hint="eastAsia" w:hAnsi="宋体" w:cs="宋体"/>
          <w:color w:val="FF0000"/>
          <w:sz w:val="24"/>
        </w:rPr>
      </w:pPr>
      <w:r>
        <w:rPr>
          <w:rFonts w:hint="eastAsia" w:hAnsi="宋体" w:cs="宋体"/>
          <w:color w:val="FF0000"/>
          <w:sz w:val="24"/>
        </w:rPr>
        <w:t>4、具有依法缴纳税收和社会保障资金的良好记录；</w:t>
      </w:r>
    </w:p>
    <w:p>
      <w:pPr>
        <w:tabs>
          <w:tab w:val="left" w:pos="7665"/>
        </w:tabs>
        <w:wordWrap w:val="0"/>
        <w:spacing w:line="400" w:lineRule="exact"/>
        <w:ind w:firstLine="612" w:firstLineChars="250"/>
        <w:rPr>
          <w:rFonts w:hint="eastAsia" w:hAnsi="宋体" w:cs="宋体"/>
          <w:color w:val="FF0000"/>
          <w:sz w:val="24"/>
        </w:rPr>
      </w:pPr>
      <w:r>
        <w:rPr>
          <w:rFonts w:hint="eastAsia" w:hAnsi="宋体" w:cs="宋体"/>
          <w:color w:val="FF0000"/>
          <w:sz w:val="24"/>
        </w:rPr>
        <w:t>5、参加本次采购活动前三年内，在经营活动中没有重大违法记录；</w:t>
      </w:r>
    </w:p>
    <w:p>
      <w:pPr>
        <w:tabs>
          <w:tab w:val="left" w:pos="7665"/>
        </w:tabs>
        <w:wordWrap w:val="0"/>
        <w:spacing w:line="400" w:lineRule="exact"/>
        <w:ind w:firstLine="612" w:firstLineChars="250"/>
        <w:rPr>
          <w:rFonts w:hint="eastAsia" w:hAnsi="宋体" w:cs="宋体"/>
          <w:color w:val="FF0000"/>
          <w:sz w:val="24"/>
        </w:rPr>
      </w:pPr>
      <w:r>
        <w:rPr>
          <w:rFonts w:hint="eastAsia" w:hAnsi="宋体" w:cs="宋体"/>
          <w:color w:val="FF0000"/>
          <w:sz w:val="24"/>
        </w:rPr>
        <w:t>6、法律、行政法规规定的其他条件；</w:t>
      </w:r>
    </w:p>
    <w:p>
      <w:pPr>
        <w:tabs>
          <w:tab w:val="left" w:pos="7665"/>
        </w:tabs>
        <w:wordWrap w:val="0"/>
        <w:spacing w:line="400" w:lineRule="exact"/>
        <w:ind w:firstLine="490" w:firstLineChars="200"/>
        <w:rPr>
          <w:rFonts w:hint="eastAsia" w:hAnsi="宋体" w:cs="宋体"/>
          <w:color w:val="FF0000"/>
          <w:sz w:val="24"/>
        </w:rPr>
      </w:pPr>
      <w:r>
        <w:rPr>
          <w:rFonts w:hint="eastAsia" w:hAnsi="宋体" w:cs="宋体"/>
          <w:color w:val="FF0000"/>
          <w:sz w:val="24"/>
        </w:rPr>
        <w:t xml:space="preserve"> 7、供应商单位及其现任法定代表人、主要负责人不得具有行贿犯罪记录；</w:t>
      </w:r>
    </w:p>
    <w:p>
      <w:pPr>
        <w:pStyle w:val="16"/>
        <w:spacing w:line="400" w:lineRule="exact"/>
        <w:ind w:firstLine="480"/>
        <w:rPr>
          <w:rFonts w:hint="eastAsia" w:hAnsi="宋体" w:eastAsia="宋体" w:cs="宋体"/>
          <w:color w:val="FF0000"/>
          <w:sz w:val="24"/>
          <w:lang w:eastAsia="zh-CN"/>
        </w:rPr>
      </w:pPr>
      <w:r>
        <w:rPr>
          <w:rFonts w:hint="eastAsia" w:hAnsi="宋体" w:cs="宋体"/>
          <w:color w:val="FF0000"/>
          <w:sz w:val="24"/>
        </w:rPr>
        <w:t>8、供应商承诺截止至响应文件递交截止时间当日，未在“信用中国”网站等渠道被列入失信被执行人、重大税收违法案件当事人名单、采购严重违法失信行为记录名单</w:t>
      </w:r>
      <w:r>
        <w:rPr>
          <w:rFonts w:hint="eastAsia" w:hAnsi="宋体" w:cs="宋体"/>
          <w:color w:val="FF0000"/>
          <w:sz w:val="24"/>
          <w:lang w:eastAsia="zh-CN"/>
        </w:rPr>
        <w:t>；</w:t>
      </w:r>
    </w:p>
    <w:p>
      <w:pPr>
        <w:pStyle w:val="16"/>
        <w:spacing w:line="400" w:lineRule="exact"/>
        <w:ind w:firstLine="480"/>
        <w:rPr>
          <w:rFonts w:hint="eastAsia" w:hAnsi="宋体" w:cs="宋体"/>
          <w:color w:val="FF0000"/>
          <w:sz w:val="24"/>
          <w:szCs w:val="24"/>
          <w:highlight w:val="none"/>
        </w:rPr>
      </w:pPr>
      <w:r>
        <w:rPr>
          <w:rFonts w:hint="eastAsia" w:hAnsi="宋体" w:cs="宋体"/>
          <w:color w:val="FF0000"/>
          <w:sz w:val="24"/>
          <w:szCs w:val="24"/>
          <w:highlight w:val="none"/>
        </w:rPr>
        <w:t>9、本项</w:t>
      </w:r>
      <w:r>
        <w:rPr>
          <w:rFonts w:hint="eastAsia" w:hAnsi="宋体" w:cs="宋体"/>
          <w:color w:val="FF0000"/>
          <w:sz w:val="24"/>
          <w:szCs w:val="24"/>
          <w:highlight w:val="none"/>
          <w:lang w:eastAsia="zh-CN"/>
        </w:rPr>
        <w:t>目不</w:t>
      </w:r>
      <w:r>
        <w:rPr>
          <w:rFonts w:hint="eastAsia" w:hAnsi="宋体" w:cs="宋体"/>
          <w:color w:val="FF0000"/>
          <w:sz w:val="24"/>
          <w:szCs w:val="24"/>
          <w:highlight w:val="none"/>
        </w:rPr>
        <w:t>允许联合体</w:t>
      </w:r>
      <w:r>
        <w:rPr>
          <w:rFonts w:hint="eastAsia" w:hAnsi="宋体" w:cs="宋体"/>
          <w:color w:val="FF0000"/>
          <w:sz w:val="24"/>
          <w:szCs w:val="24"/>
          <w:highlight w:val="none"/>
          <w:lang w:eastAsia="zh-CN"/>
        </w:rPr>
        <w:t>谈判</w:t>
      </w:r>
      <w:r>
        <w:rPr>
          <w:rFonts w:hint="eastAsia" w:hAnsi="宋体" w:cs="宋体"/>
          <w:color w:val="FF0000"/>
          <w:sz w:val="24"/>
          <w:szCs w:val="24"/>
          <w:highlight w:val="none"/>
        </w:rPr>
        <w:t>。</w:t>
      </w:r>
    </w:p>
    <w:p>
      <w:pPr>
        <w:rPr>
          <w:rFonts w:hint="eastAsia" w:hAnsi="宋体" w:cs="宋体"/>
          <w:b/>
          <w:color w:val="auto"/>
          <w:sz w:val="30"/>
          <w:szCs w:val="30"/>
          <w:highlight w:val="none"/>
        </w:rPr>
      </w:pPr>
      <w:r>
        <w:rPr>
          <w:rFonts w:hint="eastAsia" w:hAnsi="宋体" w:cs="宋体"/>
          <w:b/>
          <w:color w:val="auto"/>
          <w:sz w:val="30"/>
          <w:szCs w:val="30"/>
          <w:highlight w:val="none"/>
        </w:rPr>
        <w:t>二、谈判产品的资格、资质性及其他类似效力要求</w:t>
      </w:r>
    </w:p>
    <w:p>
      <w:pPr>
        <w:adjustRightInd w:val="0"/>
        <w:snapToGrid w:val="0"/>
        <w:spacing w:line="400" w:lineRule="exact"/>
        <w:ind w:firstLine="479" w:firstLineChars="196"/>
        <w:jc w:val="left"/>
        <w:rPr>
          <w:rFonts w:hint="eastAsia" w:hAnsi="宋体" w:cs="宋体"/>
          <w:color w:val="auto"/>
          <w:sz w:val="24"/>
          <w:highlight w:val="none"/>
        </w:rPr>
      </w:pPr>
      <w:r>
        <w:rPr>
          <w:rFonts w:hint="eastAsia" w:hAnsi="宋体" w:cs="宋体"/>
          <w:color w:val="auto"/>
          <w:sz w:val="24"/>
          <w:highlight w:val="none"/>
        </w:rPr>
        <w:t>1、提供法人代表授权书原件及法人和授权代表身份证复印件（法人代表参加谈判只需提供法人身份证复印件）。</w:t>
      </w:r>
    </w:p>
    <w:p>
      <w:pPr>
        <w:pStyle w:val="16"/>
        <w:spacing w:line="400" w:lineRule="exact"/>
        <w:ind w:firstLine="0" w:firstLineChars="0"/>
        <w:rPr>
          <w:rFonts w:hint="default" w:hAnsi="宋体" w:eastAsia="宋体" w:cs="宋体"/>
          <w:b/>
          <w:color w:val="auto"/>
          <w:sz w:val="24"/>
          <w:highlight w:val="none"/>
          <w:lang w:val="en-US" w:eastAsia="zh-CN"/>
        </w:rPr>
      </w:pPr>
      <w:r>
        <w:rPr>
          <w:rFonts w:hint="eastAsia" w:hAnsi="宋体" w:cs="宋体"/>
          <w:b/>
          <w:color w:val="auto"/>
          <w:sz w:val="24"/>
          <w:highlight w:val="none"/>
          <w:lang w:val="en-US" w:eastAsia="zh-CN"/>
        </w:rPr>
        <w:t xml:space="preserve">  </w:t>
      </w:r>
    </w:p>
    <w:p>
      <w:pPr>
        <w:numPr>
          <w:ilvl w:val="0"/>
          <w:numId w:val="0"/>
        </w:numPr>
        <w:spacing w:line="400" w:lineRule="exact"/>
        <w:jc w:val="left"/>
        <w:rPr>
          <w:rFonts w:hint="eastAsia" w:hAnsi="宋体" w:cs="宋体"/>
          <w:b/>
          <w:color w:val="auto"/>
          <w:sz w:val="24"/>
          <w:highlight w:val="none"/>
        </w:rPr>
      </w:pPr>
      <w:r>
        <w:rPr>
          <w:rFonts w:hint="eastAsia" w:hAnsi="宋体" w:cs="宋体"/>
          <w:b/>
          <w:color w:val="auto"/>
          <w:sz w:val="24"/>
          <w:highlight w:val="none"/>
          <w:lang w:eastAsia="zh-CN"/>
        </w:rPr>
        <w:t>注</w:t>
      </w:r>
      <w:r>
        <w:rPr>
          <w:rFonts w:hint="eastAsia" w:hAnsi="宋体" w:cs="宋体"/>
          <w:b/>
          <w:color w:val="auto"/>
          <w:sz w:val="24"/>
          <w:highlight w:val="none"/>
          <w:lang w:val="en-US" w:eastAsia="zh-CN"/>
        </w:rPr>
        <w:t>1、</w:t>
      </w:r>
      <w:r>
        <w:rPr>
          <w:rFonts w:hint="eastAsia" w:hAnsi="宋体" w:cs="宋体"/>
          <w:b/>
          <w:color w:val="auto"/>
          <w:sz w:val="24"/>
          <w:highlight w:val="none"/>
        </w:rPr>
        <w:t>供应商应当提供的资格、资质性及其他类似效力要求的相关证明材料详见第四章。</w:t>
      </w:r>
    </w:p>
    <w:p>
      <w:pPr>
        <w:spacing w:line="400" w:lineRule="exact"/>
        <w:ind w:right="172" w:rightChars="50"/>
        <w:jc w:val="center"/>
        <w:outlineLvl w:val="0"/>
        <w:rPr>
          <w:rFonts w:hint="eastAsia" w:hAnsi="宋体" w:cs="宋体"/>
          <w:b/>
          <w:color w:val="auto"/>
          <w:sz w:val="36"/>
          <w:szCs w:val="36"/>
          <w:highlight w:val="none"/>
        </w:rPr>
      </w:pPr>
      <w:r>
        <w:rPr>
          <w:rFonts w:hint="eastAsia" w:hAnsi="宋体" w:cs="宋体"/>
          <w:b/>
          <w:color w:val="auto"/>
          <w:sz w:val="32"/>
          <w:szCs w:val="32"/>
          <w:highlight w:val="yellow"/>
        </w:rPr>
        <w:br w:type="page"/>
      </w:r>
      <w:bookmarkStart w:id="155" w:name="_Toc23763"/>
      <w:bookmarkStart w:id="156" w:name="_Toc8078"/>
      <w:bookmarkStart w:id="157" w:name="_Toc16821_WPSOffice_Level1"/>
      <w:bookmarkStart w:id="158" w:name="_Toc31907"/>
      <w:bookmarkStart w:id="159" w:name="_Toc31166"/>
      <w:bookmarkStart w:id="160" w:name="_Toc23512"/>
      <w:bookmarkStart w:id="161" w:name="_Toc4616480"/>
      <w:bookmarkStart w:id="162" w:name="_Toc14043"/>
      <w:bookmarkStart w:id="163" w:name="_Toc1969"/>
      <w:bookmarkStart w:id="164" w:name="_Toc24892"/>
      <w:bookmarkStart w:id="165" w:name="_Toc17163"/>
      <w:r>
        <w:rPr>
          <w:rFonts w:hint="eastAsia" w:hAnsi="宋体" w:cs="宋体"/>
          <w:b/>
          <w:color w:val="auto"/>
          <w:sz w:val="36"/>
          <w:szCs w:val="36"/>
          <w:highlight w:val="none"/>
        </w:rPr>
        <w:t>第四章  供应商资格证明材料</w:t>
      </w:r>
      <w:bookmarkEnd w:id="155"/>
      <w:bookmarkEnd w:id="156"/>
      <w:bookmarkEnd w:id="157"/>
      <w:bookmarkEnd w:id="158"/>
      <w:bookmarkEnd w:id="159"/>
      <w:bookmarkEnd w:id="160"/>
      <w:bookmarkEnd w:id="161"/>
      <w:bookmarkEnd w:id="162"/>
      <w:bookmarkEnd w:id="163"/>
      <w:bookmarkEnd w:id="164"/>
      <w:bookmarkEnd w:id="165"/>
    </w:p>
    <w:p>
      <w:pPr>
        <w:pStyle w:val="2"/>
        <w:rPr>
          <w:rFonts w:hint="eastAsia"/>
        </w:rPr>
      </w:pPr>
    </w:p>
    <w:p>
      <w:pPr>
        <w:keepNext w:val="0"/>
        <w:keepLines w:val="0"/>
        <w:pageBreakBefore w:val="0"/>
        <w:kinsoku/>
        <w:overflowPunct/>
        <w:topLinePunct w:val="0"/>
        <w:bidi w:val="0"/>
        <w:spacing w:line="312" w:lineRule="auto"/>
        <w:ind w:firstLine="479" w:firstLineChars="196"/>
        <w:textAlignment w:val="auto"/>
        <w:rPr>
          <w:rFonts w:hint="eastAsia" w:hAnsi="宋体" w:cs="宋体"/>
          <w:b/>
          <w:bCs/>
          <w:color w:val="auto"/>
          <w:sz w:val="24"/>
          <w:highlight w:val="none"/>
        </w:rPr>
      </w:pPr>
      <w:r>
        <w:rPr>
          <w:rFonts w:hint="eastAsia" w:hAnsi="宋体" w:cs="宋体"/>
          <w:b/>
          <w:bCs/>
          <w:color w:val="auto"/>
          <w:sz w:val="24"/>
          <w:highlight w:val="none"/>
        </w:rPr>
        <w:t>一、供应商应提交的资格证明材料</w:t>
      </w:r>
    </w:p>
    <w:p>
      <w:pPr>
        <w:pStyle w:val="21"/>
        <w:keepNext w:val="0"/>
        <w:keepLines w:val="0"/>
        <w:pageBreakBefore w:val="0"/>
        <w:widowControl/>
        <w:kinsoku/>
        <w:overflowPunct/>
        <w:topLinePunct w:val="0"/>
        <w:bidi w:val="0"/>
        <w:spacing w:line="312" w:lineRule="auto"/>
        <w:ind w:firstLine="490" w:firstLineChars="200"/>
        <w:textAlignment w:val="auto"/>
        <w:rPr>
          <w:rFonts w:hint="eastAsia" w:ascii="宋体" w:hAnsi="宋体" w:cs="宋体"/>
          <w:color w:val="auto"/>
          <w:sz w:val="24"/>
          <w:szCs w:val="22"/>
          <w:lang w:val="en-US" w:eastAsia="zh-CN" w:bidi="ar-SA"/>
        </w:rPr>
      </w:pPr>
      <w:bookmarkStart w:id="166" w:name="_Toc30123"/>
      <w:bookmarkStart w:id="167" w:name="_Toc10760"/>
      <w:r>
        <w:rPr>
          <w:rFonts w:hint="eastAsia" w:ascii="宋体" w:hAnsi="宋体" w:cs="宋体"/>
          <w:color w:val="auto"/>
          <w:sz w:val="24"/>
          <w:szCs w:val="22"/>
          <w:lang w:val="en-US" w:eastAsia="zh-CN" w:bidi="ar-SA"/>
        </w:rPr>
        <w:t>1、</w:t>
      </w:r>
      <w:r>
        <w:rPr>
          <w:rFonts w:hint="eastAsia" w:ascii="宋体" w:hAnsi="宋体" w:cs="宋体"/>
          <w:color w:val="auto"/>
          <w:sz w:val="24"/>
          <w:szCs w:val="22"/>
          <w:lang w:val="zh-TW" w:eastAsia="zh-CN" w:bidi="ar-SA"/>
        </w:rPr>
        <w:t>具有独立承担民事责任的能力。</w:t>
      </w:r>
      <w:r>
        <w:rPr>
          <w:rFonts w:hint="eastAsia" w:ascii="宋体" w:hAnsi="宋体" w:cs="宋体"/>
          <w:color w:val="auto"/>
          <w:sz w:val="24"/>
          <w:szCs w:val="22"/>
          <w:lang w:val="en-US" w:eastAsia="zh-CN" w:bidi="ar-SA"/>
        </w:rPr>
        <w:t>（注：①供应商若为企业法人：提供“统一社会信用代码营业执照”；未换证的提供“营业执照、税务登记证、组织机构代码证或三证合一的营业执照”；②若为事业法人：提供“统一社会信用代码法人登记证书”；未换证的提交“事业法人登记证书、组织机构代码证”；③若为其它组织：提供“对应主管部门颁发的准许执业证明文件或营业执照”；④若为自然人：提供“身份证明材料”。以上均提供复印件）。</w:t>
      </w:r>
    </w:p>
    <w:p>
      <w:pPr>
        <w:pStyle w:val="21"/>
        <w:keepNext w:val="0"/>
        <w:keepLines w:val="0"/>
        <w:pageBreakBefore w:val="0"/>
        <w:widowControl/>
        <w:kinsoku/>
        <w:overflowPunct/>
        <w:topLinePunct w:val="0"/>
        <w:bidi w:val="0"/>
        <w:spacing w:line="312" w:lineRule="auto"/>
        <w:ind w:firstLine="490" w:firstLineChars="200"/>
        <w:textAlignment w:val="auto"/>
        <w:rPr>
          <w:rFonts w:hint="default" w:hAnsi="宋体" w:cs="宋体"/>
          <w:color w:val="auto"/>
          <w:sz w:val="24"/>
          <w:szCs w:val="22"/>
          <w:lang w:val="en-US" w:eastAsia="zh-CN" w:bidi="ar-SA"/>
        </w:rPr>
      </w:pPr>
    </w:p>
    <w:p>
      <w:pPr>
        <w:keepNext w:val="0"/>
        <w:keepLines w:val="0"/>
        <w:pageBreakBefore w:val="0"/>
        <w:kinsoku/>
        <w:overflowPunct/>
        <w:topLinePunct w:val="0"/>
        <w:bidi w:val="0"/>
        <w:spacing w:line="312" w:lineRule="auto"/>
        <w:textAlignment w:val="auto"/>
        <w:rPr>
          <w:rFonts w:hint="eastAsia" w:hAnsi="宋体" w:cs="宋体"/>
          <w:b/>
          <w:color w:val="auto"/>
          <w:sz w:val="30"/>
          <w:szCs w:val="30"/>
          <w:highlight w:val="none"/>
        </w:rPr>
      </w:pPr>
      <w:r>
        <w:rPr>
          <w:rFonts w:hint="eastAsia" w:hAnsi="宋体" w:cs="宋体"/>
          <w:b/>
          <w:color w:val="auto"/>
          <w:sz w:val="30"/>
          <w:szCs w:val="30"/>
          <w:highlight w:val="none"/>
        </w:rPr>
        <w:t>二、其他要求</w:t>
      </w:r>
    </w:p>
    <w:p>
      <w:pPr>
        <w:keepNext w:val="0"/>
        <w:keepLines w:val="0"/>
        <w:pageBreakBefore w:val="0"/>
        <w:kinsoku/>
        <w:overflowPunct/>
        <w:topLinePunct w:val="0"/>
        <w:bidi w:val="0"/>
        <w:adjustRightInd w:val="0"/>
        <w:snapToGrid w:val="0"/>
        <w:spacing w:line="312" w:lineRule="auto"/>
        <w:ind w:firstLine="479" w:firstLineChars="196"/>
        <w:jc w:val="left"/>
        <w:textAlignment w:val="auto"/>
        <w:rPr>
          <w:rFonts w:hint="eastAsia" w:hAnsi="宋体" w:cs="宋体"/>
          <w:color w:val="auto"/>
          <w:sz w:val="24"/>
          <w:highlight w:val="none"/>
        </w:rPr>
      </w:pPr>
      <w:r>
        <w:rPr>
          <w:rFonts w:hint="eastAsia" w:hAnsi="宋体" w:cs="宋体"/>
          <w:bCs/>
          <w:color w:val="auto"/>
          <w:sz w:val="24"/>
          <w:highlight w:val="none"/>
        </w:rPr>
        <w:t>1、</w:t>
      </w:r>
      <w:r>
        <w:rPr>
          <w:rFonts w:hint="eastAsia" w:hAnsi="宋体" w:cs="宋体"/>
          <w:color w:val="auto"/>
          <w:sz w:val="24"/>
          <w:highlight w:val="none"/>
        </w:rPr>
        <w:t>提供法人代表授权书原件及法人和授权代表身份证复印件（法人代表参加谈判只需提供法人身份证复印件）。</w:t>
      </w:r>
    </w:p>
    <w:p>
      <w:pPr>
        <w:keepNext w:val="0"/>
        <w:keepLines w:val="0"/>
        <w:pageBreakBefore w:val="0"/>
        <w:kinsoku/>
        <w:wordWrap w:val="0"/>
        <w:overflowPunct/>
        <w:topLinePunct w:val="0"/>
        <w:bidi w:val="0"/>
        <w:adjustRightInd w:val="0"/>
        <w:snapToGrid w:val="0"/>
        <w:spacing w:line="312" w:lineRule="auto"/>
        <w:jc w:val="left"/>
        <w:textAlignment w:val="auto"/>
        <w:rPr>
          <w:rFonts w:hint="eastAsia" w:hAnsi="宋体" w:cs="宋体"/>
          <w:b/>
          <w:bCs/>
          <w:color w:val="auto"/>
          <w:sz w:val="24"/>
          <w:highlight w:val="none"/>
        </w:rPr>
      </w:pPr>
      <w:bookmarkStart w:id="168" w:name="_Toc16226"/>
      <w:bookmarkStart w:id="169" w:name="_Toc25645"/>
      <w:bookmarkStart w:id="170" w:name="_Toc6133"/>
      <w:bookmarkStart w:id="171" w:name="_Toc984"/>
      <w:bookmarkStart w:id="172" w:name="_Toc8823"/>
      <w:bookmarkStart w:id="173" w:name="_Toc23353"/>
      <w:bookmarkStart w:id="174" w:name="_Toc8942"/>
      <w:r>
        <w:rPr>
          <w:rFonts w:hint="eastAsia" w:hAnsi="宋体" w:cs="宋体"/>
          <w:color w:val="auto"/>
          <w:highlight w:val="none"/>
          <w:lang w:val="en-US" w:eastAsia="zh-CN"/>
        </w:rPr>
        <w:t xml:space="preserve"> </w:t>
      </w:r>
      <w:r>
        <w:rPr>
          <w:rFonts w:hint="eastAsia" w:ascii="宋体" w:hAnsi="宋体" w:cs="宋体"/>
          <w:color w:val="auto"/>
          <w:sz w:val="24"/>
          <w:szCs w:val="22"/>
          <w:highlight w:val="none"/>
          <w:lang w:val="en-US" w:eastAsia="zh-CN"/>
        </w:rPr>
        <w:t xml:space="preserve"> </w:t>
      </w:r>
      <w:r>
        <w:rPr>
          <w:rFonts w:hint="eastAsia" w:hAnsi="宋体" w:cs="宋体"/>
          <w:b/>
          <w:bCs/>
          <w:color w:val="auto"/>
          <w:sz w:val="24"/>
          <w:highlight w:val="none"/>
        </w:rPr>
        <w:t>注：1、以上证明材料均需加盖供应商鲜章，或以骑缝章代替。</w:t>
      </w:r>
    </w:p>
    <w:p>
      <w:pPr>
        <w:keepNext w:val="0"/>
        <w:keepLines w:val="0"/>
        <w:pageBreakBefore w:val="0"/>
        <w:kinsoku/>
        <w:overflowPunct/>
        <w:topLinePunct w:val="0"/>
        <w:bidi w:val="0"/>
        <w:adjustRightInd w:val="0"/>
        <w:snapToGrid w:val="0"/>
        <w:spacing w:line="312" w:lineRule="auto"/>
        <w:ind w:firstLine="735" w:firstLineChars="300"/>
        <w:jc w:val="left"/>
        <w:textAlignment w:val="auto"/>
        <w:rPr>
          <w:rFonts w:hint="eastAsia" w:ascii="宋体" w:hAnsi="宋体" w:cs="宋体"/>
          <w:color w:val="auto"/>
          <w:highlight w:val="yellow"/>
        </w:rPr>
        <w:sectPr>
          <w:footerReference r:id="rId5" w:type="default"/>
          <w:pgSz w:w="11850" w:h="16783"/>
          <w:pgMar w:top="1440" w:right="1083" w:bottom="1440" w:left="1083" w:header="851" w:footer="992" w:gutter="0"/>
          <w:pgNumType w:fmt="decimal" w:start="1"/>
          <w:cols w:space="720" w:num="1"/>
          <w:docGrid w:type="linesAndChars" w:linePitch="463" w:charSpace="1024"/>
        </w:sectPr>
      </w:pPr>
      <w:r>
        <w:rPr>
          <w:rFonts w:hint="eastAsia" w:hAnsi="宋体" w:cs="宋体"/>
          <w:b/>
          <w:bCs/>
          <w:color w:val="auto"/>
          <w:sz w:val="24"/>
          <w:highlight w:val="none"/>
        </w:rPr>
        <w:t>2、本章要求提供的相关证明材料应当结合采购项目具体情况和供应商的组织机构性质确定，不得一概而论</w:t>
      </w:r>
    </w:p>
    <w:p>
      <w:pPr>
        <w:numPr>
          <w:ilvl w:val="0"/>
          <w:numId w:val="0"/>
        </w:numPr>
        <w:spacing w:line="400" w:lineRule="exact"/>
        <w:jc w:val="both"/>
        <w:outlineLvl w:val="0"/>
        <w:rPr>
          <w:rFonts w:hint="eastAsia" w:hAnsi="宋体" w:cs="宋体"/>
          <w:b/>
          <w:color w:val="auto"/>
          <w:sz w:val="36"/>
          <w:szCs w:val="36"/>
          <w:highlight w:val="none"/>
        </w:rPr>
      </w:pPr>
      <w:bookmarkStart w:id="175" w:name="_Toc335_WPSOffice_Level1"/>
      <w:bookmarkStart w:id="176" w:name="_Toc4616481"/>
    </w:p>
    <w:p>
      <w:pPr>
        <w:numPr>
          <w:ilvl w:val="0"/>
          <w:numId w:val="0"/>
        </w:numPr>
        <w:spacing w:line="400" w:lineRule="exact"/>
        <w:jc w:val="center"/>
        <w:outlineLvl w:val="0"/>
        <w:rPr>
          <w:rFonts w:hint="eastAsia" w:hAnsi="宋体" w:cs="宋体"/>
          <w:b/>
          <w:color w:val="auto"/>
          <w:sz w:val="36"/>
          <w:szCs w:val="36"/>
          <w:highlight w:val="none"/>
        </w:rPr>
      </w:pPr>
    </w:p>
    <w:p>
      <w:pPr>
        <w:numPr>
          <w:ilvl w:val="0"/>
          <w:numId w:val="0"/>
        </w:numPr>
        <w:spacing w:line="400" w:lineRule="exact"/>
        <w:jc w:val="center"/>
        <w:outlineLvl w:val="0"/>
        <w:rPr>
          <w:rFonts w:hint="default" w:hAnsi="宋体" w:eastAsia="宋体" w:cs="宋体"/>
          <w:b/>
          <w:color w:val="auto"/>
          <w:sz w:val="36"/>
          <w:szCs w:val="36"/>
          <w:highlight w:val="none"/>
          <w:lang w:val="en-US" w:eastAsia="zh-CN"/>
        </w:rPr>
      </w:pPr>
      <w:r>
        <w:rPr>
          <w:rFonts w:hint="eastAsia" w:hAnsi="宋体" w:cs="宋体"/>
          <w:b/>
          <w:color w:val="auto"/>
          <w:sz w:val="36"/>
          <w:szCs w:val="36"/>
          <w:highlight w:val="none"/>
          <w:lang w:val="en-US" w:eastAsia="zh-CN"/>
        </w:rPr>
        <w:t>第五章</w:t>
      </w:r>
    </w:p>
    <w:p>
      <w:pPr>
        <w:numPr>
          <w:ilvl w:val="0"/>
          <w:numId w:val="0"/>
        </w:numPr>
        <w:spacing w:line="400" w:lineRule="exact"/>
        <w:jc w:val="center"/>
        <w:outlineLvl w:val="0"/>
        <w:rPr>
          <w:rFonts w:hint="eastAsia" w:hAnsi="宋体" w:cs="宋体"/>
          <w:b/>
          <w:color w:val="auto"/>
          <w:sz w:val="36"/>
          <w:szCs w:val="36"/>
          <w:highlight w:val="none"/>
        </w:rPr>
      </w:pPr>
    </w:p>
    <w:p>
      <w:pPr>
        <w:numPr>
          <w:ilvl w:val="0"/>
          <w:numId w:val="0"/>
        </w:numPr>
        <w:spacing w:line="400" w:lineRule="exact"/>
        <w:jc w:val="center"/>
        <w:outlineLvl w:val="0"/>
        <w:rPr>
          <w:rFonts w:hint="eastAsia" w:hAnsi="宋体" w:cs="宋体"/>
          <w:b/>
          <w:color w:val="auto"/>
          <w:sz w:val="36"/>
          <w:szCs w:val="36"/>
          <w:highlight w:val="none"/>
        </w:rPr>
      </w:pPr>
      <w:r>
        <w:rPr>
          <w:rFonts w:hint="eastAsia" w:hAnsi="宋体" w:cs="宋体"/>
          <w:b/>
          <w:color w:val="auto"/>
          <w:sz w:val="36"/>
          <w:szCs w:val="36"/>
          <w:highlight w:val="none"/>
        </w:rPr>
        <w:t>采购项目技术、服务、采购合同内容条款及其他商务要求</w:t>
      </w:r>
      <w:bookmarkEnd w:id="166"/>
      <w:bookmarkEnd w:id="167"/>
      <w:bookmarkEnd w:id="168"/>
      <w:bookmarkEnd w:id="169"/>
      <w:bookmarkEnd w:id="170"/>
      <w:bookmarkEnd w:id="171"/>
      <w:bookmarkEnd w:id="172"/>
      <w:bookmarkEnd w:id="173"/>
      <w:bookmarkEnd w:id="174"/>
      <w:bookmarkEnd w:id="175"/>
      <w:bookmarkEnd w:id="176"/>
    </w:p>
    <w:p>
      <w:pPr>
        <w:pStyle w:val="2"/>
        <w:rPr>
          <w:rFonts w:hint="eastAsia"/>
        </w:rPr>
      </w:pPr>
    </w:p>
    <w:p>
      <w:pPr>
        <w:pStyle w:val="6"/>
        <w:keepNext w:val="0"/>
        <w:keepLines w:val="0"/>
        <w:pageBreakBefore w:val="0"/>
        <w:kinsoku/>
        <w:wordWrap/>
        <w:overflowPunct/>
        <w:topLinePunct w:val="0"/>
        <w:bidi w:val="0"/>
        <w:adjustRightInd w:val="0"/>
        <w:snapToGrid w:val="0"/>
        <w:spacing w:line="312" w:lineRule="auto"/>
        <w:ind w:left="0" w:leftChars="0" w:firstLine="0" w:firstLineChars="0"/>
        <w:rPr>
          <w:rFonts w:hint="eastAsia" w:ascii="宋体" w:hAnsi="宋体" w:cs="宋体"/>
          <w:b/>
          <w:bCs/>
          <w:sz w:val="28"/>
          <w:szCs w:val="28"/>
          <w:highlight w:val="none"/>
        </w:rPr>
      </w:pPr>
      <w:r>
        <w:rPr>
          <w:rFonts w:hint="eastAsia" w:ascii="宋体" w:hAnsi="宋体" w:cs="宋体"/>
          <w:b/>
          <w:bCs/>
          <w:sz w:val="28"/>
          <w:szCs w:val="28"/>
          <w:highlight w:val="none"/>
        </w:rPr>
        <w:t>一、项目名称</w:t>
      </w:r>
    </w:p>
    <w:p>
      <w:pPr>
        <w:keepNext w:val="0"/>
        <w:keepLines w:val="0"/>
        <w:pageBreakBefore w:val="0"/>
        <w:kinsoku/>
        <w:wordWrap/>
        <w:overflowPunct/>
        <w:topLinePunct w:val="0"/>
        <w:bidi w:val="0"/>
        <w:adjustRightInd w:val="0"/>
        <w:snapToGrid w:val="0"/>
        <w:spacing w:line="312" w:lineRule="auto"/>
        <w:rPr>
          <w:rFonts w:hint="eastAsia" w:hAnsi="宋体" w:cs="宋体"/>
          <w:sz w:val="24"/>
          <w:szCs w:val="24"/>
          <w:highlight w:val="none"/>
        </w:rPr>
      </w:pPr>
      <w:r>
        <w:rPr>
          <w:rFonts w:hint="eastAsia" w:hAnsi="宋体" w:cs="宋体"/>
          <w:sz w:val="24"/>
          <w:szCs w:val="24"/>
          <w:highlight w:val="none"/>
          <w:lang w:eastAsia="zh-CN"/>
        </w:rPr>
        <w:t>江安县中医医疗健康集团医院</w:t>
      </w:r>
      <w:r>
        <w:rPr>
          <w:rFonts w:hint="eastAsia" w:hAnsi="宋体" w:cs="宋体"/>
          <w:sz w:val="24"/>
          <w:szCs w:val="24"/>
          <w:highlight w:val="none"/>
          <w:lang w:val="en-US" w:eastAsia="zh-CN"/>
        </w:rPr>
        <w:t>妇幼保健</w:t>
      </w:r>
      <w:r>
        <w:rPr>
          <w:rFonts w:hint="eastAsia" w:hAnsi="宋体" w:cs="宋体"/>
          <w:sz w:val="24"/>
          <w:szCs w:val="24"/>
          <w:highlight w:val="none"/>
          <w:lang w:eastAsia="zh-CN"/>
        </w:rPr>
        <w:t>分院</w:t>
      </w:r>
      <w:r>
        <w:rPr>
          <w:rFonts w:hint="eastAsia" w:hAnsi="宋体" w:cs="宋体"/>
          <w:sz w:val="24"/>
          <w:szCs w:val="24"/>
          <w:highlight w:val="none"/>
          <w:lang w:val="en-US" w:eastAsia="zh-CN"/>
        </w:rPr>
        <w:t>首诊信息工作站（一体机）</w:t>
      </w:r>
      <w:r>
        <w:rPr>
          <w:rFonts w:hint="eastAsia" w:hAnsi="宋体" w:cs="宋体"/>
          <w:sz w:val="24"/>
          <w:szCs w:val="24"/>
          <w:highlight w:val="none"/>
          <w:lang w:eastAsia="zh-CN"/>
        </w:rPr>
        <w:t>采购项目</w:t>
      </w:r>
      <w:r>
        <w:rPr>
          <w:rFonts w:hint="eastAsia" w:hAnsi="宋体" w:cs="宋体"/>
          <w:sz w:val="24"/>
          <w:szCs w:val="24"/>
          <w:highlight w:val="none"/>
        </w:rPr>
        <w:t>。</w:t>
      </w:r>
    </w:p>
    <w:p>
      <w:pPr>
        <w:pStyle w:val="9"/>
        <w:keepNext w:val="0"/>
        <w:keepLines w:val="0"/>
        <w:pageBreakBefore w:val="0"/>
        <w:kinsoku/>
        <w:wordWrap/>
        <w:overflowPunct/>
        <w:topLinePunct w:val="0"/>
        <w:bidi w:val="0"/>
        <w:spacing w:line="312" w:lineRule="auto"/>
        <w:rPr>
          <w:rFonts w:hint="eastAsia" w:hAnsi="宋体" w:cs="宋体"/>
          <w:b/>
          <w:bCs/>
          <w:sz w:val="28"/>
          <w:szCs w:val="28"/>
          <w:highlight w:val="none"/>
        </w:rPr>
      </w:pPr>
      <w:r>
        <w:rPr>
          <w:rFonts w:hint="eastAsia" w:hAnsi="宋体" w:cs="宋体"/>
          <w:b/>
          <w:bCs/>
          <w:sz w:val="28"/>
          <w:szCs w:val="28"/>
          <w:highlight w:val="none"/>
        </w:rPr>
        <w:t>二、主要工作内容 ：</w:t>
      </w:r>
    </w:p>
    <w:p>
      <w:pPr>
        <w:pStyle w:val="9"/>
        <w:keepNext w:val="0"/>
        <w:keepLines w:val="0"/>
        <w:pageBreakBefore w:val="0"/>
        <w:kinsoku/>
        <w:wordWrap/>
        <w:overflowPunct/>
        <w:topLinePunct w:val="0"/>
        <w:bidi w:val="0"/>
        <w:spacing w:line="312" w:lineRule="auto"/>
        <w:ind w:firstLine="480" w:firstLineChars="200"/>
        <w:rPr>
          <w:rFonts w:hint="eastAsia" w:hAnsi="宋体" w:cs="宋体"/>
          <w:sz w:val="24"/>
          <w:szCs w:val="24"/>
          <w:highlight w:val="none"/>
          <w:lang w:eastAsia="zh-CN"/>
        </w:rPr>
      </w:pPr>
      <w:r>
        <w:rPr>
          <w:rFonts w:ascii="宋体" w:hAnsi="宋体" w:eastAsia="宋体" w:cs="宋体"/>
          <w:sz w:val="24"/>
          <w:szCs w:val="24"/>
          <w:highlight w:val="none"/>
        </w:rPr>
        <w:t>按相关技术规范和标准，编制</w:t>
      </w:r>
      <w:r>
        <w:rPr>
          <w:rFonts w:hint="eastAsia" w:hAnsi="宋体" w:eastAsia="宋体" w:cs="宋体"/>
          <w:sz w:val="24"/>
          <w:szCs w:val="24"/>
          <w:highlight w:val="none"/>
          <w:lang w:val="en-US" w:eastAsia="zh-CN"/>
        </w:rPr>
        <w:t xml:space="preserve"> </w:t>
      </w:r>
      <w:r>
        <w:rPr>
          <w:rFonts w:ascii="宋体" w:hAnsi="宋体" w:eastAsia="宋体" w:cs="宋体"/>
          <w:sz w:val="24"/>
          <w:szCs w:val="24"/>
          <w:highlight w:val="none"/>
        </w:rPr>
        <w:t>《</w:t>
      </w:r>
      <w:r>
        <w:rPr>
          <w:rFonts w:hint="eastAsia" w:hAnsi="宋体" w:cs="宋体"/>
          <w:sz w:val="24"/>
          <w:szCs w:val="24"/>
          <w:highlight w:val="none"/>
          <w:lang w:eastAsia="zh-CN"/>
        </w:rPr>
        <w:t>江安县中医医疗健康集团医院</w:t>
      </w:r>
    </w:p>
    <w:p>
      <w:pPr>
        <w:pStyle w:val="9"/>
        <w:keepNext w:val="0"/>
        <w:keepLines w:val="0"/>
        <w:pageBreakBefore w:val="0"/>
        <w:kinsoku/>
        <w:wordWrap/>
        <w:overflowPunct/>
        <w:topLinePunct w:val="0"/>
        <w:bidi w:val="0"/>
        <w:spacing w:line="312" w:lineRule="auto"/>
        <w:ind w:firstLine="480" w:firstLineChars="200"/>
        <w:rPr>
          <w:rFonts w:ascii="宋体" w:hAnsi="宋体" w:eastAsia="宋体" w:cs="宋体"/>
          <w:sz w:val="24"/>
          <w:szCs w:val="24"/>
          <w:highlight w:val="none"/>
        </w:rPr>
      </w:pPr>
      <w:r>
        <w:rPr>
          <w:rFonts w:hint="eastAsia" w:hAnsi="宋体" w:cs="宋体"/>
          <w:sz w:val="24"/>
          <w:szCs w:val="24"/>
          <w:highlight w:val="none"/>
          <w:lang w:val="en-US" w:eastAsia="zh-CN"/>
        </w:rPr>
        <w:t>妇幼保健分院首诊信息工作站（一体机）</w:t>
      </w:r>
      <w:r>
        <w:rPr>
          <w:rFonts w:hint="eastAsia" w:hAnsi="宋体" w:cs="宋体"/>
          <w:sz w:val="24"/>
          <w:szCs w:val="24"/>
          <w:highlight w:val="none"/>
          <w:lang w:eastAsia="zh-CN"/>
        </w:rPr>
        <w:t>采购项目</w:t>
      </w:r>
      <w:r>
        <w:rPr>
          <w:rFonts w:ascii="宋体" w:hAnsi="宋体" w:eastAsia="宋体" w:cs="宋体"/>
          <w:sz w:val="24"/>
          <w:szCs w:val="24"/>
          <w:highlight w:val="none"/>
        </w:rPr>
        <w:t>》。</w:t>
      </w:r>
    </w:p>
    <w:p>
      <w:pPr>
        <w:pStyle w:val="9"/>
        <w:keepNext w:val="0"/>
        <w:keepLines w:val="0"/>
        <w:pageBreakBefore w:val="0"/>
        <w:kinsoku/>
        <w:wordWrap/>
        <w:overflowPunct/>
        <w:topLinePunct w:val="0"/>
        <w:bidi w:val="0"/>
        <w:spacing w:line="312" w:lineRule="auto"/>
        <w:ind w:firstLine="480" w:firstLineChars="200"/>
        <w:rPr>
          <w:rFonts w:hint="default" w:hAnsi="宋体" w:eastAsia="宋体" w:cs="宋体"/>
          <w:sz w:val="24"/>
          <w:szCs w:val="24"/>
          <w:highlight w:val="none"/>
          <w:lang w:val="en-US" w:eastAsia="zh-CN"/>
        </w:rPr>
      </w:pPr>
      <w:r>
        <w:rPr>
          <w:rFonts w:ascii="宋体" w:hAnsi="宋体" w:eastAsia="宋体" w:cs="宋体"/>
          <w:sz w:val="24"/>
          <w:szCs w:val="24"/>
          <w:highlight w:val="none"/>
        </w:rPr>
        <w:t>主要内容包括：</w:t>
      </w:r>
      <w:r>
        <w:rPr>
          <w:rFonts w:hint="eastAsia" w:hAnsi="宋体" w:cs="宋体"/>
          <w:sz w:val="24"/>
          <w:szCs w:val="24"/>
          <w:highlight w:val="none"/>
          <w:lang w:val="en-US" w:eastAsia="zh-CN"/>
        </w:rPr>
        <w:t>首诊信息工作站（一体机）1 台/套</w:t>
      </w:r>
    </w:p>
    <w:p>
      <w:pPr>
        <w:pStyle w:val="9"/>
        <w:keepNext w:val="0"/>
        <w:keepLines w:val="0"/>
        <w:pageBreakBefore w:val="0"/>
        <w:kinsoku/>
        <w:wordWrap/>
        <w:overflowPunct/>
        <w:topLinePunct w:val="0"/>
        <w:bidi w:val="0"/>
        <w:spacing w:line="312" w:lineRule="auto"/>
        <w:ind w:firstLine="480" w:firstLineChars="200"/>
        <w:rPr>
          <w:rFonts w:hint="eastAsia" w:hAnsi="宋体" w:eastAsia="宋体" w:cs="宋体"/>
          <w:sz w:val="24"/>
          <w:szCs w:val="24"/>
          <w:highlight w:val="none"/>
          <w:lang w:val="en-US" w:eastAsia="zh-CN"/>
        </w:rPr>
      </w:pPr>
    </w:p>
    <w:p>
      <w:pPr>
        <w:pStyle w:val="9"/>
        <w:keepNext w:val="0"/>
        <w:keepLines w:val="0"/>
        <w:pageBreakBefore w:val="0"/>
        <w:kinsoku/>
        <w:wordWrap/>
        <w:overflowPunct/>
        <w:topLinePunct w:val="0"/>
        <w:bidi w:val="0"/>
        <w:spacing w:line="312" w:lineRule="auto"/>
        <w:ind w:firstLine="480" w:firstLineChars="200"/>
        <w:rPr>
          <w:rFonts w:hint="eastAsia" w:hAnsi="宋体" w:eastAsia="宋体" w:cs="宋体"/>
          <w:sz w:val="24"/>
          <w:szCs w:val="24"/>
          <w:highlight w:val="none"/>
          <w:lang w:val="en-US" w:eastAsia="zh-CN"/>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0"/>
        <w:gridCol w:w="5706"/>
        <w:gridCol w:w="750"/>
        <w:gridCol w:w="6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0" w:type="dxa"/>
            <w:vAlign w:val="center"/>
          </w:tcPr>
          <w:p>
            <w:pPr>
              <w:pStyle w:val="9"/>
              <w:keepNext w:val="0"/>
              <w:keepLines w:val="0"/>
              <w:pageBreakBefore w:val="0"/>
              <w:kinsoku/>
              <w:wordWrap/>
              <w:overflowPunct/>
              <w:topLinePunct w:val="0"/>
              <w:bidi w:val="0"/>
              <w:spacing w:line="312" w:lineRule="auto"/>
              <w:jc w:val="center"/>
              <w:rPr>
                <w:rFonts w:hint="default" w:hAnsi="宋体" w:eastAsia="宋体" w:cs="宋体"/>
                <w:sz w:val="24"/>
                <w:szCs w:val="24"/>
                <w:highlight w:val="none"/>
                <w:vertAlign w:val="baseline"/>
                <w:lang w:val="en-US" w:eastAsia="zh-CN"/>
              </w:rPr>
            </w:pPr>
            <w:r>
              <w:rPr>
                <w:rFonts w:hint="eastAsia" w:hAnsi="宋体" w:cs="宋体"/>
                <w:sz w:val="24"/>
                <w:szCs w:val="24"/>
                <w:highlight w:val="none"/>
                <w:vertAlign w:val="baseline"/>
                <w:lang w:val="en-US" w:eastAsia="zh-CN"/>
              </w:rPr>
              <w:t>名称</w:t>
            </w:r>
          </w:p>
        </w:tc>
        <w:tc>
          <w:tcPr>
            <w:tcW w:w="5706" w:type="dxa"/>
            <w:vAlign w:val="center"/>
          </w:tcPr>
          <w:p>
            <w:pPr>
              <w:pStyle w:val="9"/>
              <w:keepNext w:val="0"/>
              <w:keepLines w:val="0"/>
              <w:pageBreakBefore w:val="0"/>
              <w:kinsoku/>
              <w:wordWrap/>
              <w:overflowPunct/>
              <w:topLinePunct w:val="0"/>
              <w:bidi w:val="0"/>
              <w:spacing w:line="312" w:lineRule="auto"/>
              <w:jc w:val="center"/>
              <w:rPr>
                <w:rFonts w:hint="default" w:hAnsi="宋体" w:eastAsia="宋体" w:cs="宋体"/>
                <w:sz w:val="24"/>
                <w:szCs w:val="24"/>
                <w:highlight w:val="none"/>
                <w:vertAlign w:val="baseline"/>
                <w:lang w:val="en-US" w:eastAsia="zh-CN"/>
              </w:rPr>
            </w:pPr>
            <w:r>
              <w:rPr>
                <w:rFonts w:hint="eastAsia" w:hAnsi="宋体" w:cs="宋体"/>
                <w:sz w:val="24"/>
                <w:szCs w:val="24"/>
                <w:highlight w:val="none"/>
                <w:vertAlign w:val="baseline"/>
                <w:lang w:val="en-US" w:eastAsia="zh-CN"/>
              </w:rPr>
              <w:t>技术参数要求</w:t>
            </w:r>
          </w:p>
        </w:tc>
        <w:tc>
          <w:tcPr>
            <w:tcW w:w="750" w:type="dxa"/>
            <w:vAlign w:val="center"/>
          </w:tcPr>
          <w:p>
            <w:pPr>
              <w:pStyle w:val="9"/>
              <w:keepNext w:val="0"/>
              <w:keepLines w:val="0"/>
              <w:pageBreakBefore w:val="0"/>
              <w:kinsoku/>
              <w:wordWrap/>
              <w:overflowPunct/>
              <w:topLinePunct w:val="0"/>
              <w:bidi w:val="0"/>
              <w:spacing w:line="312" w:lineRule="auto"/>
              <w:jc w:val="center"/>
              <w:rPr>
                <w:rFonts w:hint="default" w:hAnsi="宋体" w:eastAsia="宋体" w:cs="宋体"/>
                <w:sz w:val="24"/>
                <w:szCs w:val="24"/>
                <w:highlight w:val="none"/>
                <w:vertAlign w:val="baseline"/>
                <w:lang w:val="en-US" w:eastAsia="zh-CN"/>
              </w:rPr>
            </w:pPr>
            <w:r>
              <w:rPr>
                <w:rFonts w:hint="eastAsia" w:hAnsi="宋体" w:cs="宋体"/>
                <w:sz w:val="24"/>
                <w:szCs w:val="24"/>
                <w:highlight w:val="none"/>
                <w:vertAlign w:val="baseline"/>
                <w:lang w:val="en-US" w:eastAsia="zh-CN"/>
              </w:rPr>
              <w:t>单位</w:t>
            </w:r>
          </w:p>
        </w:tc>
        <w:tc>
          <w:tcPr>
            <w:tcW w:w="666" w:type="dxa"/>
            <w:vAlign w:val="center"/>
          </w:tcPr>
          <w:p>
            <w:pPr>
              <w:pStyle w:val="9"/>
              <w:keepNext w:val="0"/>
              <w:keepLines w:val="0"/>
              <w:pageBreakBefore w:val="0"/>
              <w:kinsoku/>
              <w:wordWrap/>
              <w:overflowPunct/>
              <w:topLinePunct w:val="0"/>
              <w:bidi w:val="0"/>
              <w:spacing w:line="312" w:lineRule="auto"/>
              <w:jc w:val="center"/>
              <w:rPr>
                <w:rFonts w:hint="default" w:hAnsi="宋体" w:eastAsia="宋体" w:cs="宋体"/>
                <w:sz w:val="24"/>
                <w:szCs w:val="24"/>
                <w:highlight w:val="none"/>
                <w:vertAlign w:val="baseline"/>
                <w:lang w:val="en-US" w:eastAsia="zh-CN"/>
              </w:rPr>
            </w:pPr>
            <w:r>
              <w:rPr>
                <w:rFonts w:hint="eastAsia" w:hAnsi="宋体" w:cs="宋体"/>
                <w:sz w:val="24"/>
                <w:szCs w:val="24"/>
                <w:highlight w:val="none"/>
                <w:vertAlign w:val="baseli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0" w:type="dxa"/>
            <w:vAlign w:val="center"/>
          </w:tcPr>
          <w:p>
            <w:pPr>
              <w:pStyle w:val="9"/>
              <w:keepNext w:val="0"/>
              <w:keepLines w:val="0"/>
              <w:pageBreakBefore w:val="0"/>
              <w:kinsoku/>
              <w:wordWrap/>
              <w:overflowPunct/>
              <w:topLinePunct w:val="0"/>
              <w:bidi w:val="0"/>
              <w:spacing w:line="312" w:lineRule="auto"/>
              <w:jc w:val="center"/>
              <w:rPr>
                <w:rFonts w:hint="eastAsia" w:hAnsi="宋体" w:cs="宋体"/>
                <w:sz w:val="24"/>
                <w:szCs w:val="24"/>
                <w:highlight w:val="none"/>
                <w:vertAlign w:val="baseline"/>
                <w:lang w:val="en-US" w:eastAsia="zh-CN"/>
              </w:rPr>
            </w:pPr>
            <w:r>
              <w:rPr>
                <w:rFonts w:hint="eastAsia" w:hAnsi="宋体" w:cs="宋体"/>
                <w:sz w:val="24"/>
                <w:szCs w:val="24"/>
                <w:highlight w:val="none"/>
                <w:vertAlign w:val="baseline"/>
                <w:lang w:val="en-US" w:eastAsia="zh-CN"/>
              </w:rPr>
              <w:t>首</w:t>
            </w:r>
          </w:p>
          <w:p>
            <w:pPr>
              <w:pStyle w:val="9"/>
              <w:keepNext w:val="0"/>
              <w:keepLines w:val="0"/>
              <w:pageBreakBefore w:val="0"/>
              <w:kinsoku/>
              <w:wordWrap/>
              <w:overflowPunct/>
              <w:topLinePunct w:val="0"/>
              <w:bidi w:val="0"/>
              <w:spacing w:line="312" w:lineRule="auto"/>
              <w:jc w:val="center"/>
              <w:rPr>
                <w:rFonts w:hint="eastAsia" w:hAnsi="宋体" w:cs="宋体"/>
                <w:sz w:val="24"/>
                <w:szCs w:val="24"/>
                <w:highlight w:val="none"/>
                <w:vertAlign w:val="baseline"/>
                <w:lang w:val="en-US" w:eastAsia="zh-CN"/>
              </w:rPr>
            </w:pPr>
            <w:r>
              <w:rPr>
                <w:rFonts w:hint="eastAsia" w:hAnsi="宋体" w:cs="宋体"/>
                <w:sz w:val="24"/>
                <w:szCs w:val="24"/>
                <w:highlight w:val="none"/>
                <w:vertAlign w:val="baseline"/>
                <w:lang w:val="en-US" w:eastAsia="zh-CN"/>
              </w:rPr>
              <w:t>诊</w:t>
            </w:r>
          </w:p>
          <w:p>
            <w:pPr>
              <w:pStyle w:val="9"/>
              <w:keepNext w:val="0"/>
              <w:keepLines w:val="0"/>
              <w:pageBreakBefore w:val="0"/>
              <w:kinsoku/>
              <w:wordWrap/>
              <w:overflowPunct/>
              <w:topLinePunct w:val="0"/>
              <w:bidi w:val="0"/>
              <w:spacing w:line="312" w:lineRule="auto"/>
              <w:jc w:val="center"/>
              <w:rPr>
                <w:rFonts w:hint="eastAsia" w:hAnsi="宋体" w:cs="宋体"/>
                <w:sz w:val="24"/>
                <w:szCs w:val="24"/>
                <w:highlight w:val="none"/>
                <w:vertAlign w:val="baseline"/>
                <w:lang w:val="en-US" w:eastAsia="zh-CN"/>
              </w:rPr>
            </w:pPr>
            <w:r>
              <w:rPr>
                <w:rFonts w:hint="eastAsia" w:hAnsi="宋体" w:cs="宋体"/>
                <w:sz w:val="24"/>
                <w:szCs w:val="24"/>
                <w:highlight w:val="none"/>
                <w:vertAlign w:val="baseline"/>
                <w:lang w:val="en-US" w:eastAsia="zh-CN"/>
              </w:rPr>
              <w:t>信</w:t>
            </w:r>
          </w:p>
          <w:p>
            <w:pPr>
              <w:pStyle w:val="9"/>
              <w:keepNext w:val="0"/>
              <w:keepLines w:val="0"/>
              <w:pageBreakBefore w:val="0"/>
              <w:kinsoku/>
              <w:wordWrap/>
              <w:overflowPunct/>
              <w:topLinePunct w:val="0"/>
              <w:bidi w:val="0"/>
              <w:spacing w:line="312" w:lineRule="auto"/>
              <w:jc w:val="center"/>
              <w:rPr>
                <w:rFonts w:hint="eastAsia" w:hAnsi="宋体" w:cs="宋体"/>
                <w:sz w:val="24"/>
                <w:szCs w:val="24"/>
                <w:highlight w:val="none"/>
                <w:vertAlign w:val="baseline"/>
                <w:lang w:val="en-US" w:eastAsia="zh-CN"/>
              </w:rPr>
            </w:pPr>
            <w:r>
              <w:rPr>
                <w:rFonts w:hint="eastAsia" w:hAnsi="宋体" w:cs="宋体"/>
                <w:sz w:val="24"/>
                <w:szCs w:val="24"/>
                <w:highlight w:val="none"/>
                <w:vertAlign w:val="baseline"/>
                <w:lang w:val="en-US" w:eastAsia="zh-CN"/>
              </w:rPr>
              <w:t>息</w:t>
            </w:r>
          </w:p>
          <w:p>
            <w:pPr>
              <w:pStyle w:val="9"/>
              <w:keepNext w:val="0"/>
              <w:keepLines w:val="0"/>
              <w:pageBreakBefore w:val="0"/>
              <w:kinsoku/>
              <w:wordWrap/>
              <w:overflowPunct/>
              <w:topLinePunct w:val="0"/>
              <w:bidi w:val="0"/>
              <w:spacing w:line="312" w:lineRule="auto"/>
              <w:jc w:val="center"/>
              <w:rPr>
                <w:rFonts w:hint="eastAsia" w:hAnsi="宋体" w:cs="宋体"/>
                <w:sz w:val="24"/>
                <w:szCs w:val="24"/>
                <w:highlight w:val="none"/>
                <w:vertAlign w:val="baseline"/>
                <w:lang w:val="en-US" w:eastAsia="zh-CN"/>
              </w:rPr>
            </w:pPr>
            <w:r>
              <w:rPr>
                <w:rFonts w:hint="eastAsia" w:hAnsi="宋体" w:cs="宋体"/>
                <w:sz w:val="24"/>
                <w:szCs w:val="24"/>
                <w:highlight w:val="none"/>
                <w:vertAlign w:val="baseline"/>
                <w:lang w:val="en-US" w:eastAsia="zh-CN"/>
              </w:rPr>
              <w:t>工</w:t>
            </w:r>
          </w:p>
          <w:p>
            <w:pPr>
              <w:pStyle w:val="9"/>
              <w:keepNext w:val="0"/>
              <w:keepLines w:val="0"/>
              <w:pageBreakBefore w:val="0"/>
              <w:kinsoku/>
              <w:wordWrap/>
              <w:overflowPunct/>
              <w:topLinePunct w:val="0"/>
              <w:bidi w:val="0"/>
              <w:spacing w:line="312" w:lineRule="auto"/>
              <w:jc w:val="center"/>
              <w:rPr>
                <w:rFonts w:hint="eastAsia" w:hAnsi="宋体" w:cs="宋体"/>
                <w:sz w:val="24"/>
                <w:szCs w:val="24"/>
                <w:highlight w:val="none"/>
                <w:vertAlign w:val="baseline"/>
                <w:lang w:val="en-US" w:eastAsia="zh-CN"/>
              </w:rPr>
            </w:pPr>
            <w:r>
              <w:rPr>
                <w:rFonts w:hint="eastAsia" w:hAnsi="宋体" w:cs="宋体"/>
                <w:sz w:val="24"/>
                <w:szCs w:val="24"/>
                <w:highlight w:val="none"/>
                <w:vertAlign w:val="baseline"/>
                <w:lang w:val="en-US" w:eastAsia="zh-CN"/>
              </w:rPr>
              <w:t>作</w:t>
            </w:r>
          </w:p>
          <w:p>
            <w:pPr>
              <w:pStyle w:val="9"/>
              <w:keepNext w:val="0"/>
              <w:keepLines w:val="0"/>
              <w:pageBreakBefore w:val="0"/>
              <w:kinsoku/>
              <w:wordWrap/>
              <w:overflowPunct/>
              <w:topLinePunct w:val="0"/>
              <w:bidi w:val="0"/>
              <w:spacing w:line="312" w:lineRule="auto"/>
              <w:jc w:val="center"/>
              <w:rPr>
                <w:rFonts w:hint="eastAsia" w:hAnsi="宋体" w:cs="宋体"/>
                <w:sz w:val="24"/>
                <w:szCs w:val="24"/>
                <w:highlight w:val="none"/>
                <w:vertAlign w:val="baseline"/>
                <w:lang w:val="en-US" w:eastAsia="zh-CN"/>
              </w:rPr>
            </w:pPr>
            <w:r>
              <w:rPr>
                <w:rFonts w:hint="eastAsia" w:hAnsi="宋体" w:cs="宋体"/>
                <w:sz w:val="24"/>
                <w:szCs w:val="24"/>
                <w:highlight w:val="none"/>
                <w:vertAlign w:val="baseline"/>
                <w:lang w:val="en-US" w:eastAsia="zh-CN"/>
              </w:rPr>
              <w:t>站</w:t>
            </w:r>
          </w:p>
          <w:p>
            <w:pPr>
              <w:pStyle w:val="9"/>
              <w:keepNext w:val="0"/>
              <w:keepLines w:val="0"/>
              <w:pageBreakBefore w:val="0"/>
              <w:kinsoku/>
              <w:wordWrap/>
              <w:overflowPunct/>
              <w:topLinePunct w:val="0"/>
              <w:bidi w:val="0"/>
              <w:spacing w:line="312" w:lineRule="auto"/>
              <w:jc w:val="center"/>
              <w:rPr>
                <w:rFonts w:hint="default" w:hAnsi="宋体" w:eastAsia="宋体" w:cs="宋体"/>
                <w:sz w:val="24"/>
                <w:szCs w:val="24"/>
                <w:highlight w:val="none"/>
                <w:vertAlign w:val="baseline"/>
                <w:lang w:val="en-US" w:eastAsia="zh-CN"/>
              </w:rPr>
            </w:pPr>
            <w:r>
              <w:rPr>
                <w:rFonts w:hint="eastAsia" w:hAnsi="宋体" w:cs="宋体"/>
                <w:sz w:val="24"/>
                <w:szCs w:val="24"/>
                <w:highlight w:val="none"/>
                <w:vertAlign w:val="baseline"/>
                <w:lang w:val="en-US" w:eastAsia="zh-CN"/>
              </w:rPr>
              <w:t>（一体机）</w:t>
            </w:r>
          </w:p>
        </w:tc>
        <w:tc>
          <w:tcPr>
            <w:tcW w:w="5706" w:type="dxa"/>
          </w:tcPr>
          <w:p>
            <w:pPr>
              <w:spacing w:line="360" w:lineRule="auto"/>
              <w:rPr>
                <w:rFonts w:ascii="宋体" w:hAnsi="宋体" w:eastAsia="宋体" w:cs="宋体"/>
                <w:sz w:val="24"/>
                <w:highlight w:val="none"/>
              </w:rPr>
            </w:pPr>
            <w:r>
              <w:rPr>
                <w:rFonts w:hint="eastAsia" w:ascii="宋体" w:hAnsi="宋体" w:eastAsia="宋体" w:cs="宋体"/>
                <w:sz w:val="24"/>
                <w:highlight w:val="none"/>
              </w:rPr>
              <w:t>一：1.主要功能：身高、体重、血压、体温。人性化设计，一站式操作，通过实时语音、动画视频，引导检测人员自主完成测量，并与之前测量数据实时对比。支持身份证或扫码登录建档，登录成功后通过语音与动画引导进行测量。测量完成后打印体检报告，体检数据可上传至指定平台。用户可凭身份证或手机号搜索体检数据。用户可通过移动端查看自己的测量数据。</w:t>
            </w:r>
          </w:p>
          <w:p>
            <w:pPr>
              <w:numPr>
                <w:ilvl w:val="0"/>
                <w:numId w:val="4"/>
              </w:numPr>
              <w:spacing w:line="360" w:lineRule="auto"/>
              <w:rPr>
                <w:rFonts w:ascii="宋体" w:hAnsi="宋体" w:eastAsia="宋体" w:cs="宋体"/>
                <w:sz w:val="24"/>
                <w:highlight w:val="none"/>
              </w:rPr>
            </w:pPr>
            <w:r>
              <w:rPr>
                <w:rFonts w:hint="eastAsia" w:ascii="宋体" w:hAnsi="宋体" w:eastAsia="宋体" w:cs="宋体"/>
                <w:sz w:val="24"/>
                <w:highlight w:val="none"/>
              </w:rPr>
              <w:t>产品特点；</w:t>
            </w:r>
          </w:p>
          <w:p>
            <w:pPr>
              <w:numPr>
                <w:ilvl w:val="0"/>
                <w:numId w:val="5"/>
              </w:numPr>
              <w:spacing w:line="360" w:lineRule="auto"/>
              <w:rPr>
                <w:rFonts w:ascii="宋体" w:hAnsi="宋体" w:eastAsia="宋体" w:cs="宋体"/>
                <w:sz w:val="24"/>
                <w:highlight w:val="none"/>
              </w:rPr>
            </w:pPr>
            <w:r>
              <w:rPr>
                <w:rFonts w:hint="eastAsia" w:ascii="宋体" w:hAnsi="宋体" w:eastAsia="宋体" w:cs="宋体"/>
                <w:sz w:val="24"/>
                <w:highlight w:val="none"/>
              </w:rPr>
              <w:t>高舒适度：一体化设计，自然坐姿测量，座椅高度可调节。</w:t>
            </w:r>
          </w:p>
          <w:p>
            <w:pPr>
              <w:numPr>
                <w:ilvl w:val="0"/>
                <w:numId w:val="5"/>
              </w:numPr>
              <w:spacing w:line="360" w:lineRule="auto"/>
              <w:rPr>
                <w:rFonts w:ascii="宋体" w:hAnsi="宋体" w:eastAsia="宋体" w:cs="宋体"/>
                <w:sz w:val="24"/>
                <w:highlight w:val="none"/>
              </w:rPr>
            </w:pPr>
            <w:r>
              <w:rPr>
                <w:rFonts w:hint="eastAsia" w:ascii="宋体" w:hAnsi="宋体" w:eastAsia="宋体" w:cs="宋体"/>
                <w:sz w:val="24"/>
                <w:highlight w:val="none"/>
              </w:rPr>
              <w:t>高精度：采用最专业的测量设备保证精确度。</w:t>
            </w:r>
          </w:p>
          <w:p>
            <w:pPr>
              <w:spacing w:line="360" w:lineRule="auto"/>
              <w:rPr>
                <w:rFonts w:ascii="宋体" w:hAnsi="宋体" w:eastAsia="宋体" w:cs="宋体"/>
                <w:sz w:val="24"/>
                <w:highlight w:val="none"/>
              </w:rPr>
            </w:pPr>
            <w:r>
              <w:rPr>
                <w:rFonts w:hint="eastAsia" w:ascii="宋体" w:hAnsi="宋体" w:eastAsia="宋体" w:cs="宋体"/>
                <w:sz w:val="24"/>
                <w:highlight w:val="none"/>
              </w:rPr>
              <w:t>二:各分项检测功能要求</w:t>
            </w:r>
          </w:p>
          <w:p>
            <w:pPr>
              <w:numPr>
                <w:ilvl w:val="0"/>
                <w:numId w:val="6"/>
              </w:numPr>
              <w:spacing w:line="360" w:lineRule="auto"/>
              <w:rPr>
                <w:rFonts w:ascii="宋体" w:hAnsi="宋体" w:eastAsia="宋体" w:cs="宋体"/>
                <w:sz w:val="24"/>
                <w:highlight w:val="none"/>
              </w:rPr>
            </w:pPr>
            <w:r>
              <w:rPr>
                <w:rFonts w:hint="eastAsia" w:ascii="宋体" w:hAnsi="宋体" w:eastAsia="宋体" w:cs="宋体"/>
                <w:sz w:val="24"/>
                <w:highlight w:val="none"/>
              </w:rPr>
              <w:t>身高、体重检测：</w:t>
            </w:r>
          </w:p>
          <w:p>
            <w:pPr>
              <w:spacing w:line="360" w:lineRule="auto"/>
              <w:ind w:firstLine="240" w:firstLineChars="100"/>
              <w:rPr>
                <w:rFonts w:ascii="宋体" w:hAnsi="宋体" w:eastAsia="宋体" w:cs="宋体"/>
                <w:sz w:val="24"/>
                <w:highlight w:val="none"/>
              </w:rPr>
            </w:pPr>
            <w:r>
              <w:rPr>
                <w:rFonts w:hint="eastAsia" w:ascii="宋体" w:hAnsi="宋体" w:eastAsia="宋体" w:cs="宋体"/>
                <w:sz w:val="24"/>
                <w:highlight w:val="none"/>
              </w:rPr>
              <w:t xml:space="preserve">1.1测量范围：70-200cm    5-200kg </w:t>
            </w:r>
          </w:p>
          <w:p>
            <w:pPr>
              <w:spacing w:line="360" w:lineRule="auto"/>
              <w:ind w:firstLine="240" w:firstLineChars="100"/>
              <w:rPr>
                <w:rFonts w:ascii="宋体" w:hAnsi="宋体" w:eastAsia="宋体" w:cs="宋体"/>
                <w:sz w:val="24"/>
                <w:highlight w:val="none"/>
              </w:rPr>
            </w:pPr>
            <w:r>
              <w:rPr>
                <w:rFonts w:hint="eastAsia" w:ascii="宋体" w:hAnsi="宋体" w:eastAsia="宋体" w:cs="宋体"/>
                <w:sz w:val="24"/>
                <w:highlight w:val="none"/>
              </w:rPr>
              <w:t>1.2检定精度：±0.5cm     ±0.1kg</w:t>
            </w:r>
          </w:p>
          <w:p>
            <w:pPr>
              <w:numPr>
                <w:ilvl w:val="0"/>
                <w:numId w:val="6"/>
              </w:numPr>
              <w:spacing w:line="360" w:lineRule="auto"/>
              <w:rPr>
                <w:rFonts w:ascii="宋体" w:hAnsi="宋体" w:eastAsia="宋体" w:cs="宋体"/>
                <w:sz w:val="24"/>
                <w:highlight w:val="none"/>
              </w:rPr>
            </w:pPr>
            <w:r>
              <w:rPr>
                <w:rFonts w:hint="eastAsia" w:ascii="宋体" w:hAnsi="宋体" w:eastAsia="宋体" w:cs="宋体"/>
                <w:sz w:val="24"/>
                <w:highlight w:val="none"/>
              </w:rPr>
              <w:t>体温检测：</w:t>
            </w:r>
          </w:p>
          <w:p>
            <w:pPr>
              <w:spacing w:line="360" w:lineRule="auto"/>
              <w:ind w:firstLine="240" w:firstLineChars="100"/>
              <w:rPr>
                <w:rFonts w:ascii="宋体" w:hAnsi="宋体" w:eastAsia="宋体" w:cs="宋体"/>
                <w:sz w:val="24"/>
                <w:highlight w:val="none"/>
              </w:rPr>
            </w:pPr>
            <w:r>
              <w:rPr>
                <w:rFonts w:hint="eastAsia" w:ascii="宋体" w:hAnsi="宋体" w:eastAsia="宋体" w:cs="宋体"/>
                <w:sz w:val="24"/>
                <w:highlight w:val="none"/>
              </w:rPr>
              <w:t>2.1显示精确位数：0.1℃</w:t>
            </w:r>
          </w:p>
          <w:p>
            <w:pPr>
              <w:spacing w:line="360" w:lineRule="auto"/>
              <w:ind w:firstLine="240" w:firstLineChars="100"/>
              <w:rPr>
                <w:rFonts w:ascii="宋体" w:hAnsi="宋体" w:eastAsia="宋体" w:cs="宋体"/>
                <w:sz w:val="24"/>
                <w:highlight w:val="none"/>
              </w:rPr>
            </w:pPr>
            <w:r>
              <w:rPr>
                <w:rFonts w:hint="eastAsia" w:ascii="宋体" w:hAnsi="宋体" w:eastAsia="宋体" w:cs="宋体"/>
                <w:sz w:val="24"/>
                <w:highlight w:val="none"/>
              </w:rPr>
              <w:t>2.2人体测温模式：32.0-42.5℃</w:t>
            </w:r>
          </w:p>
          <w:p>
            <w:pPr>
              <w:spacing w:line="360" w:lineRule="auto"/>
              <w:ind w:firstLine="240" w:firstLineChars="100"/>
              <w:rPr>
                <w:rFonts w:ascii="宋体" w:hAnsi="宋体" w:eastAsia="宋体" w:cs="宋体"/>
                <w:sz w:val="24"/>
                <w:highlight w:val="none"/>
              </w:rPr>
            </w:pPr>
            <w:r>
              <w:rPr>
                <w:rFonts w:hint="eastAsia" w:ascii="宋体" w:hAnsi="宋体" w:eastAsia="宋体" w:cs="宋体"/>
                <w:sz w:val="24"/>
                <w:highlight w:val="none"/>
              </w:rPr>
              <w:t>2.3精确度：±0.3℃</w:t>
            </w:r>
          </w:p>
          <w:p>
            <w:pPr>
              <w:spacing w:line="360" w:lineRule="auto"/>
              <w:ind w:firstLine="240" w:firstLineChars="100"/>
              <w:rPr>
                <w:rFonts w:ascii="宋体" w:hAnsi="宋体" w:eastAsia="宋体" w:cs="宋体"/>
                <w:sz w:val="24"/>
                <w:highlight w:val="none"/>
              </w:rPr>
            </w:pPr>
            <w:r>
              <w:rPr>
                <w:rFonts w:hint="eastAsia" w:ascii="宋体" w:hAnsi="宋体" w:eastAsia="宋体" w:cs="宋体"/>
                <w:sz w:val="24"/>
                <w:highlight w:val="none"/>
              </w:rPr>
              <w:t>2.4测量距离：5-8厘米</w:t>
            </w:r>
          </w:p>
          <w:p>
            <w:pPr>
              <w:spacing w:line="360" w:lineRule="auto"/>
              <w:ind w:firstLine="240" w:firstLineChars="100"/>
              <w:rPr>
                <w:rFonts w:ascii="宋体" w:hAnsi="宋体" w:eastAsia="宋体" w:cs="宋体"/>
                <w:sz w:val="24"/>
                <w:highlight w:val="none"/>
              </w:rPr>
            </w:pPr>
            <w:r>
              <w:rPr>
                <w:rFonts w:hint="eastAsia" w:ascii="宋体" w:hAnsi="宋体" w:eastAsia="宋体" w:cs="宋体"/>
                <w:sz w:val="24"/>
                <w:highlight w:val="none"/>
              </w:rPr>
              <w:t>2.5具有自动测量体温功能，无需任何按键可测量体温</w:t>
            </w:r>
          </w:p>
          <w:p>
            <w:pPr>
              <w:numPr>
                <w:ilvl w:val="0"/>
                <w:numId w:val="6"/>
              </w:numPr>
              <w:spacing w:line="360" w:lineRule="auto"/>
              <w:rPr>
                <w:rFonts w:ascii="宋体" w:hAnsi="宋体" w:eastAsia="宋体" w:cs="宋体"/>
                <w:sz w:val="24"/>
                <w:highlight w:val="none"/>
              </w:rPr>
            </w:pPr>
            <w:r>
              <w:rPr>
                <w:rFonts w:hint="eastAsia" w:ascii="宋体" w:hAnsi="宋体" w:eastAsia="宋体" w:cs="宋体"/>
                <w:sz w:val="24"/>
                <w:highlight w:val="none"/>
              </w:rPr>
              <w:t>血压检测：</w:t>
            </w:r>
          </w:p>
          <w:p>
            <w:pPr>
              <w:numPr>
                <w:ilvl w:val="0"/>
                <w:numId w:val="0"/>
              </w:numPr>
              <w:spacing w:line="360" w:lineRule="auto"/>
              <w:ind w:firstLine="240" w:firstLineChars="100"/>
              <w:rPr>
                <w:rFonts w:hint="eastAsia" w:ascii="宋体" w:hAnsi="宋体" w:eastAsia="宋体" w:cs="宋体"/>
                <w:sz w:val="24"/>
                <w:highlight w:val="none"/>
              </w:rPr>
            </w:pPr>
            <w:r>
              <w:rPr>
                <w:rFonts w:hint="eastAsia" w:ascii="宋体" w:hAnsi="宋体" w:eastAsia="宋体" w:cs="宋体"/>
                <w:sz w:val="24"/>
                <w:highlight w:val="none"/>
                <w:lang w:val="en-US" w:eastAsia="zh-CN"/>
              </w:rPr>
              <w:t>3.1</w:t>
            </w:r>
            <w:r>
              <w:rPr>
                <w:rFonts w:hint="eastAsia" w:ascii="宋体" w:hAnsi="宋体" w:eastAsia="宋体" w:cs="宋体"/>
                <w:sz w:val="24"/>
                <w:highlight w:val="none"/>
              </w:rPr>
              <w:t>测量方法：示波法</w:t>
            </w:r>
          </w:p>
          <w:p>
            <w:pPr>
              <w:numPr>
                <w:ilvl w:val="0"/>
                <w:numId w:val="0"/>
              </w:numPr>
              <w:spacing w:line="360" w:lineRule="auto"/>
              <w:ind w:firstLine="240" w:firstLineChars="1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3.2显示方法：彩色LCD显示</w:t>
            </w:r>
          </w:p>
          <w:p>
            <w:pPr>
              <w:numPr>
                <w:ilvl w:val="0"/>
                <w:numId w:val="0"/>
              </w:numPr>
              <w:spacing w:line="360" w:lineRule="auto"/>
              <w:ind w:firstLine="240" w:firstLineChars="1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3.3压力显示范围： 0-299mmHg</w:t>
            </w:r>
          </w:p>
          <w:p>
            <w:pPr>
              <w:numPr>
                <w:ilvl w:val="0"/>
                <w:numId w:val="0"/>
              </w:numPr>
              <w:spacing w:line="360" w:lineRule="auto"/>
              <w:ind w:firstLine="240" w:firstLineChars="1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3.4测量范围：血压：0-299mmHg：脉搏数:40-180次/分</w:t>
            </w:r>
          </w:p>
          <w:p>
            <w:pPr>
              <w:numPr>
                <w:ilvl w:val="0"/>
                <w:numId w:val="0"/>
              </w:numPr>
              <w:spacing w:line="360" w:lineRule="auto"/>
              <w:ind w:firstLine="240" w:firstLineChars="1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3.5测量位置：左右臂均可测量</w:t>
            </w:r>
          </w:p>
          <w:p>
            <w:pPr>
              <w:numPr>
                <w:ilvl w:val="0"/>
                <w:numId w:val="0"/>
              </w:numPr>
              <w:spacing w:line="360" w:lineRule="auto"/>
              <w:ind w:firstLine="240" w:firstLineChars="1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3.6压力监测：半导体压力传感器</w:t>
            </w:r>
          </w:p>
          <w:p>
            <w:pPr>
              <w:numPr>
                <w:ilvl w:val="0"/>
                <w:numId w:val="0"/>
              </w:numPr>
              <w:spacing w:line="360" w:lineRule="auto"/>
              <w:ind w:firstLine="240" w:firstLineChars="1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3.7精确度： 血压±3mmHg以内，脉搏：读取数值的+2%以内</w:t>
            </w:r>
          </w:p>
          <w:p>
            <w:pPr>
              <w:numPr>
                <w:ilvl w:val="0"/>
                <w:numId w:val="0"/>
              </w:numPr>
              <w:spacing w:line="360" w:lineRule="auto"/>
              <w:ind w:firstLine="240" w:firstLineChars="1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3.8加压：压力泵自动加压方式</w:t>
            </w:r>
          </w:p>
          <w:p>
            <w:pPr>
              <w:numPr>
                <w:ilvl w:val="0"/>
                <w:numId w:val="0"/>
              </w:numPr>
              <w:spacing w:line="360" w:lineRule="auto"/>
              <w:ind w:firstLine="240" w:firstLineChars="1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3.9减压：电磁控制阀自动减压系统</w:t>
            </w:r>
          </w:p>
          <w:p>
            <w:pPr>
              <w:numPr>
                <w:ilvl w:val="0"/>
                <w:numId w:val="0"/>
              </w:numPr>
              <w:spacing w:line="360" w:lineRule="auto"/>
              <w:ind w:firstLine="240" w:firstLineChars="1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3.10超压保护：压力超过300mmHg时，急速排气保护。急速排气时间不大于10秒</w:t>
            </w:r>
          </w:p>
          <w:p>
            <w:pPr>
              <w:numPr>
                <w:ilvl w:val="0"/>
                <w:numId w:val="0"/>
              </w:numPr>
              <w:spacing w:line="360" w:lineRule="auto"/>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★3.11肘部位置传感器：电子肘部位置传感器，并有指示灯提示手臂放置位置是否正确 (准确定位肱动脉，提高测量精度)</w:t>
            </w:r>
          </w:p>
          <w:p>
            <w:pPr>
              <w:numPr>
                <w:ilvl w:val="0"/>
                <w:numId w:val="0"/>
              </w:numPr>
              <w:spacing w:line="360" w:lineRule="auto"/>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★3.12臂筒角度调节：自动上下浮动式臂筒（针对身材较高人士具有良好的测量保证功能）</w:t>
            </w:r>
          </w:p>
          <w:p>
            <w:pPr>
              <w:numPr>
                <w:ilvl w:val="0"/>
                <w:numId w:val="0"/>
              </w:numPr>
              <w:spacing w:line="360" w:lineRule="auto"/>
              <w:ind w:firstLine="240" w:firstLineChars="1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3.13适合臂周：17cm-42cm</w:t>
            </w:r>
          </w:p>
          <w:p>
            <w:pPr>
              <w:numPr>
                <w:ilvl w:val="0"/>
                <w:numId w:val="0"/>
              </w:numPr>
              <w:spacing w:line="360" w:lineRule="auto"/>
              <w:ind w:firstLine="240" w:firstLineChars="1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3.14平均测量功能：有</w:t>
            </w:r>
          </w:p>
          <w:p>
            <w:pPr>
              <w:numPr>
                <w:ilvl w:val="0"/>
                <w:numId w:val="0"/>
              </w:numPr>
              <w:spacing w:line="360" w:lineRule="auto"/>
              <w:ind w:firstLine="240" w:firstLineChars="1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3.15广告功能：有（客户可根据需求编辑）</w:t>
            </w:r>
          </w:p>
          <w:p>
            <w:pPr>
              <w:numPr>
                <w:ilvl w:val="0"/>
                <w:numId w:val="0"/>
              </w:numPr>
              <w:spacing w:line="360" w:lineRule="auto"/>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★3.16干扰提示：干扰情况用户提醒、干扰波形图打印显示(需提供打印波形图并加盖公章)</w:t>
            </w:r>
          </w:p>
          <w:p>
            <w:pPr>
              <w:numPr>
                <w:ilvl w:val="0"/>
                <w:numId w:val="0"/>
              </w:numPr>
              <w:spacing w:line="360" w:lineRule="auto"/>
              <w:ind w:firstLine="240" w:firstLineChars="1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3.17高血压计判定功能：可根据测量值自动判定高血压程度</w:t>
            </w:r>
          </w:p>
          <w:p>
            <w:pPr>
              <w:numPr>
                <w:ilvl w:val="0"/>
                <w:numId w:val="0"/>
              </w:numPr>
              <w:spacing w:line="360" w:lineRule="auto"/>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★3.18抗菌设计：机身及袖套全部采用抗菌材料</w:t>
            </w:r>
          </w:p>
          <w:p>
            <w:pPr>
              <w:numPr>
                <w:ilvl w:val="0"/>
                <w:numId w:val="0"/>
              </w:numPr>
              <w:spacing w:line="360" w:lineRule="auto"/>
              <w:ind w:firstLine="240" w:firstLineChars="1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3.19音乐待机功能：测量结束后一定时间可切换至待机模式，并可选择音乐播放</w:t>
            </w:r>
          </w:p>
          <w:p>
            <w:pPr>
              <w:numPr>
                <w:ilvl w:val="0"/>
                <w:numId w:val="0"/>
              </w:numPr>
              <w:spacing w:line="360" w:lineRule="auto"/>
              <w:ind w:firstLine="240" w:firstLineChars="1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3.20电击防护：ⅱ类B型设备</w:t>
            </w:r>
          </w:p>
          <w:p>
            <w:pPr>
              <w:numPr>
                <w:ilvl w:val="0"/>
                <w:numId w:val="0"/>
              </w:numPr>
              <w:spacing w:line="360" w:lineRule="auto"/>
              <w:ind w:firstLine="240" w:firstLineChars="1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3.21语音功能：测量过程提示、测量结果播报</w:t>
            </w:r>
          </w:p>
          <w:p>
            <w:pPr>
              <w:numPr>
                <w:ilvl w:val="0"/>
                <w:numId w:val="0"/>
              </w:numPr>
              <w:spacing w:line="360" w:lineRule="auto"/>
              <w:ind w:firstLine="240" w:firstLineChars="1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3.22用户教育：根据测量结果，显示提示信息</w:t>
            </w:r>
          </w:p>
          <w:p>
            <w:pPr>
              <w:numPr>
                <w:ilvl w:val="0"/>
                <w:numId w:val="0"/>
              </w:numPr>
              <w:spacing w:line="360" w:lineRule="auto"/>
              <w:ind w:firstLine="240" w:firstLineChars="1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3.23通信数据输出：RS-232标准接口，连结电脑同步管理、专用软件配套</w:t>
            </w:r>
          </w:p>
          <w:p>
            <w:pPr>
              <w:numPr>
                <w:ilvl w:val="0"/>
                <w:numId w:val="0"/>
              </w:numPr>
              <w:spacing w:line="360" w:lineRule="auto"/>
              <w:ind w:firstLine="240" w:firstLineChars="1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3.24打印装置：全中文热敏打印、自动裁纸、多种模式可选</w:t>
            </w:r>
          </w:p>
          <w:p>
            <w:pPr>
              <w:numPr>
                <w:ilvl w:val="0"/>
                <w:numId w:val="0"/>
              </w:numPr>
              <w:spacing w:line="360" w:lineRule="auto"/>
              <w:ind w:firstLine="240" w:firstLineChars="1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3.25压力单位：mmHg和Kpa两种模式互选</w:t>
            </w:r>
          </w:p>
          <w:p>
            <w:pPr>
              <w:numPr>
                <w:ilvl w:val="0"/>
                <w:numId w:val="6"/>
              </w:numPr>
              <w:spacing w:line="360" w:lineRule="auto"/>
              <w:rPr>
                <w:rFonts w:ascii="宋体" w:hAnsi="宋体" w:eastAsia="宋体" w:cs="宋体"/>
                <w:sz w:val="24"/>
                <w:highlight w:val="none"/>
              </w:rPr>
            </w:pPr>
            <w:r>
              <w:rPr>
                <w:rFonts w:hint="eastAsia" w:ascii="宋体" w:hAnsi="宋体" w:eastAsia="宋体" w:cs="宋体"/>
                <w:sz w:val="24"/>
                <w:highlight w:val="none"/>
              </w:rPr>
              <w:t>测量平台配置：</w:t>
            </w:r>
          </w:p>
          <w:p>
            <w:pPr>
              <w:spacing w:line="360" w:lineRule="auto"/>
              <w:ind w:firstLine="240" w:firstLineChars="100"/>
              <w:rPr>
                <w:rFonts w:ascii="宋体" w:hAnsi="宋体" w:eastAsia="宋体" w:cs="宋体"/>
                <w:sz w:val="24"/>
                <w:highlight w:val="none"/>
              </w:rPr>
            </w:pPr>
            <w:r>
              <w:rPr>
                <w:rFonts w:hint="eastAsia" w:ascii="宋体" w:hAnsi="宋体" w:eastAsia="宋体" w:cs="宋体"/>
                <w:sz w:val="24"/>
                <w:highlight w:val="none"/>
              </w:rPr>
              <w:t>4.1CPU:四核或以上，频率1.8Hz</w:t>
            </w:r>
          </w:p>
          <w:p>
            <w:pPr>
              <w:spacing w:line="360" w:lineRule="auto"/>
              <w:ind w:firstLine="240" w:firstLineChars="100"/>
              <w:rPr>
                <w:rFonts w:ascii="宋体" w:hAnsi="宋体" w:eastAsia="宋体" w:cs="宋体"/>
                <w:sz w:val="24"/>
                <w:highlight w:val="none"/>
              </w:rPr>
            </w:pPr>
            <w:r>
              <w:rPr>
                <w:rFonts w:hint="eastAsia" w:ascii="宋体" w:hAnsi="宋体" w:eastAsia="宋体" w:cs="宋体"/>
                <w:sz w:val="24"/>
                <w:highlight w:val="none"/>
              </w:rPr>
              <w:t>4.2内存：2GB,最高支持4GB</w:t>
            </w:r>
          </w:p>
          <w:p>
            <w:pPr>
              <w:spacing w:line="360" w:lineRule="auto"/>
              <w:ind w:firstLine="240" w:firstLineChars="100"/>
              <w:rPr>
                <w:rFonts w:ascii="宋体" w:hAnsi="宋体" w:eastAsia="宋体" w:cs="宋体"/>
                <w:sz w:val="24"/>
                <w:highlight w:val="none"/>
              </w:rPr>
            </w:pPr>
            <w:r>
              <w:rPr>
                <w:rFonts w:hint="eastAsia" w:ascii="宋体" w:hAnsi="宋体" w:eastAsia="宋体" w:cs="宋体"/>
                <w:sz w:val="24"/>
                <w:highlight w:val="none"/>
              </w:rPr>
              <w:t>4.3显示屏：10.1寸电容触摸屏</w:t>
            </w:r>
          </w:p>
          <w:p>
            <w:pPr>
              <w:spacing w:line="360" w:lineRule="auto"/>
              <w:ind w:firstLine="240" w:firstLineChars="100"/>
              <w:rPr>
                <w:rFonts w:ascii="宋体" w:hAnsi="宋体" w:eastAsia="宋体" w:cs="宋体"/>
                <w:sz w:val="24"/>
                <w:highlight w:val="none"/>
              </w:rPr>
            </w:pPr>
            <w:r>
              <w:rPr>
                <w:rFonts w:hint="eastAsia" w:ascii="宋体" w:hAnsi="宋体" w:eastAsia="宋体" w:cs="宋体"/>
                <w:sz w:val="24"/>
                <w:highlight w:val="none"/>
              </w:rPr>
              <w:t>4.4数据输出接口：支持LAN网络接口和WiFi及4G</w:t>
            </w:r>
          </w:p>
          <w:p>
            <w:pPr>
              <w:spacing w:line="360" w:lineRule="auto"/>
              <w:ind w:firstLine="240" w:firstLineChars="100"/>
              <w:rPr>
                <w:rFonts w:ascii="宋体" w:hAnsi="宋体" w:eastAsia="宋体" w:cs="宋体"/>
                <w:sz w:val="24"/>
                <w:highlight w:val="none"/>
              </w:rPr>
            </w:pPr>
            <w:r>
              <w:rPr>
                <w:rFonts w:hint="eastAsia" w:ascii="宋体" w:hAnsi="宋体" w:eastAsia="宋体" w:cs="宋体"/>
                <w:sz w:val="24"/>
                <w:highlight w:val="none"/>
              </w:rPr>
              <w:t>4.5额定功率/额定电流：≤33W/10A</w:t>
            </w:r>
          </w:p>
          <w:p>
            <w:pPr>
              <w:spacing w:line="360" w:lineRule="auto"/>
              <w:ind w:firstLine="240" w:firstLineChars="100"/>
              <w:rPr>
                <w:rFonts w:ascii="宋体" w:hAnsi="宋体" w:eastAsia="宋体" w:cs="宋体"/>
                <w:sz w:val="24"/>
                <w:highlight w:val="none"/>
              </w:rPr>
            </w:pPr>
            <w:r>
              <w:rPr>
                <w:rFonts w:hint="eastAsia" w:ascii="宋体" w:hAnsi="宋体" w:eastAsia="宋体" w:cs="宋体"/>
                <w:sz w:val="24"/>
                <w:highlight w:val="none"/>
              </w:rPr>
              <w:t>4.6热敏打印机：有</w:t>
            </w:r>
          </w:p>
          <w:p>
            <w:pPr>
              <w:spacing w:line="360" w:lineRule="auto"/>
              <w:ind w:firstLine="240" w:firstLineChars="100"/>
              <w:rPr>
                <w:rFonts w:ascii="宋体" w:hAnsi="宋体" w:eastAsia="宋体" w:cs="宋体"/>
                <w:sz w:val="24"/>
                <w:highlight w:val="none"/>
              </w:rPr>
            </w:pPr>
            <w:r>
              <w:rPr>
                <w:rFonts w:hint="eastAsia" w:ascii="宋体" w:hAnsi="宋体" w:eastAsia="宋体" w:cs="宋体"/>
                <w:sz w:val="24"/>
                <w:highlight w:val="none"/>
              </w:rPr>
              <w:t>4.7操作系统：安卓</w:t>
            </w:r>
          </w:p>
          <w:p>
            <w:pPr>
              <w:spacing w:line="360" w:lineRule="auto"/>
              <w:ind w:firstLine="240" w:firstLineChars="100"/>
              <w:rPr>
                <w:rFonts w:ascii="宋体" w:hAnsi="宋体" w:eastAsia="宋体" w:cs="宋体"/>
                <w:sz w:val="24"/>
                <w:highlight w:val="none"/>
              </w:rPr>
            </w:pPr>
            <w:r>
              <w:rPr>
                <w:rFonts w:hint="eastAsia" w:ascii="宋体" w:hAnsi="宋体" w:eastAsia="宋体" w:cs="宋体"/>
                <w:sz w:val="24"/>
                <w:highlight w:val="none"/>
              </w:rPr>
              <w:t>4.8可选配人脸识别、指纹登陆模块</w:t>
            </w:r>
          </w:p>
          <w:p>
            <w:pPr>
              <w:numPr>
                <w:ilvl w:val="0"/>
                <w:numId w:val="7"/>
              </w:numPr>
              <w:spacing w:line="360" w:lineRule="auto"/>
              <w:rPr>
                <w:rFonts w:ascii="宋体" w:hAnsi="宋体" w:eastAsia="宋体" w:cs="宋体"/>
                <w:sz w:val="24"/>
                <w:highlight w:val="none"/>
              </w:rPr>
            </w:pPr>
            <w:r>
              <w:rPr>
                <w:rFonts w:hint="eastAsia" w:ascii="宋体" w:hAnsi="宋体" w:eastAsia="宋体" w:cs="宋体"/>
                <w:sz w:val="24"/>
                <w:highlight w:val="none"/>
              </w:rPr>
              <w:t>健康指标自助检测服务系统技术要求</w:t>
            </w:r>
          </w:p>
          <w:p>
            <w:pPr>
              <w:numPr>
                <w:ilvl w:val="0"/>
                <w:numId w:val="8"/>
              </w:numPr>
              <w:spacing w:line="360" w:lineRule="auto"/>
              <w:rPr>
                <w:rFonts w:ascii="宋体" w:hAnsi="宋体" w:eastAsia="宋体" w:cs="宋体"/>
                <w:sz w:val="24"/>
                <w:highlight w:val="none"/>
              </w:rPr>
            </w:pPr>
            <w:r>
              <w:rPr>
                <w:rFonts w:hint="eastAsia" w:ascii="宋体" w:hAnsi="宋体" w:eastAsia="宋体" w:cs="宋体"/>
                <w:sz w:val="24"/>
                <w:highlight w:val="none"/>
              </w:rPr>
              <w:t>软件目的：快速，便捷，自助健康体检。</w:t>
            </w:r>
          </w:p>
          <w:p>
            <w:pPr>
              <w:numPr>
                <w:ilvl w:val="0"/>
                <w:numId w:val="8"/>
              </w:numPr>
              <w:spacing w:line="360" w:lineRule="auto"/>
              <w:rPr>
                <w:rFonts w:ascii="宋体" w:hAnsi="宋体" w:eastAsia="宋体" w:cs="宋体"/>
                <w:sz w:val="24"/>
                <w:highlight w:val="none"/>
              </w:rPr>
            </w:pPr>
            <w:r>
              <w:rPr>
                <w:rFonts w:hint="eastAsia" w:ascii="宋体" w:hAnsi="宋体" w:eastAsia="宋体" w:cs="宋体"/>
                <w:sz w:val="24"/>
                <w:highlight w:val="none"/>
              </w:rPr>
              <w:t>检测组成：系统主要由身高、体重、体温、血压、登录、测量查询、配置和报告输出等部分组成。</w:t>
            </w:r>
          </w:p>
          <w:p>
            <w:pPr>
              <w:numPr>
                <w:ilvl w:val="0"/>
                <w:numId w:val="8"/>
              </w:numPr>
              <w:spacing w:line="360" w:lineRule="auto"/>
              <w:rPr>
                <w:rFonts w:ascii="宋体" w:hAnsi="宋体" w:eastAsia="宋体" w:cs="宋体"/>
                <w:sz w:val="24"/>
                <w:highlight w:val="none"/>
              </w:rPr>
            </w:pPr>
            <w:r>
              <w:rPr>
                <w:rFonts w:hint="eastAsia" w:ascii="宋体" w:hAnsi="宋体" w:eastAsia="宋体" w:cs="宋体"/>
                <w:sz w:val="24"/>
                <w:highlight w:val="none"/>
              </w:rPr>
              <w:t>对接支持：可实现与云平台或医院信息系统对接。</w:t>
            </w:r>
          </w:p>
          <w:p>
            <w:pPr>
              <w:numPr>
                <w:ilvl w:val="0"/>
                <w:numId w:val="8"/>
              </w:numPr>
              <w:spacing w:line="360" w:lineRule="auto"/>
              <w:rPr>
                <w:rFonts w:ascii="宋体" w:hAnsi="宋体" w:eastAsia="宋体" w:cs="宋体"/>
                <w:sz w:val="24"/>
                <w:highlight w:val="none"/>
              </w:rPr>
            </w:pPr>
            <w:r>
              <w:rPr>
                <w:rFonts w:hint="eastAsia" w:ascii="宋体" w:hAnsi="宋体" w:eastAsia="宋体" w:cs="宋体"/>
                <w:sz w:val="24"/>
                <w:highlight w:val="none"/>
              </w:rPr>
              <w:t>打印报告：支持热敏打印</w:t>
            </w:r>
          </w:p>
          <w:p>
            <w:pPr>
              <w:numPr>
                <w:ilvl w:val="0"/>
                <w:numId w:val="8"/>
              </w:numPr>
              <w:spacing w:line="360" w:lineRule="auto"/>
              <w:rPr>
                <w:rFonts w:ascii="宋体" w:hAnsi="宋体" w:eastAsia="宋体" w:cs="宋体"/>
                <w:sz w:val="24"/>
                <w:highlight w:val="none"/>
              </w:rPr>
            </w:pPr>
            <w:r>
              <w:rPr>
                <w:rFonts w:hint="eastAsia" w:ascii="宋体" w:hAnsi="宋体" w:eastAsia="宋体" w:cs="宋体"/>
                <w:sz w:val="24"/>
                <w:highlight w:val="none"/>
              </w:rPr>
              <w:t>软件资质及要求</w:t>
            </w:r>
          </w:p>
          <w:p>
            <w:pPr>
              <w:spacing w:line="360" w:lineRule="auto"/>
              <w:ind w:firstLine="240" w:firstLineChars="100"/>
              <w:rPr>
                <w:rFonts w:ascii="宋体" w:hAnsi="宋体" w:eastAsia="宋体" w:cs="宋体"/>
                <w:sz w:val="24"/>
                <w:highlight w:val="none"/>
              </w:rPr>
            </w:pPr>
            <w:r>
              <w:rPr>
                <w:rFonts w:hint="eastAsia" w:ascii="宋体" w:hAnsi="宋体" w:eastAsia="宋体" w:cs="宋体"/>
                <w:sz w:val="24"/>
                <w:highlight w:val="none"/>
              </w:rPr>
              <w:t>(1)采用双向通讯模式，以利于软件对体检仪器的控制，实现自助式体检操作；</w:t>
            </w:r>
          </w:p>
          <w:p>
            <w:pPr>
              <w:spacing w:line="360" w:lineRule="auto"/>
              <w:ind w:firstLine="240" w:firstLineChars="100"/>
              <w:rPr>
                <w:rFonts w:ascii="宋体" w:hAnsi="宋体" w:eastAsia="宋体" w:cs="宋体"/>
                <w:sz w:val="24"/>
                <w:highlight w:val="none"/>
              </w:rPr>
            </w:pPr>
            <w:r>
              <w:rPr>
                <w:rFonts w:hint="eastAsia" w:ascii="宋体" w:hAnsi="宋体" w:eastAsia="宋体" w:cs="宋体"/>
                <w:sz w:val="24"/>
                <w:highlight w:val="none"/>
              </w:rPr>
              <w:t>(2)全面支持RS-232、USB等主流通讯接口，可联机不少于两种同类的主流体检仪器；</w:t>
            </w:r>
          </w:p>
          <w:p>
            <w:pPr>
              <w:spacing w:line="360" w:lineRule="auto"/>
              <w:ind w:firstLine="240" w:firstLineChars="100"/>
              <w:rPr>
                <w:rFonts w:hint="default" w:hAnsi="宋体" w:eastAsia="宋体" w:cs="宋体"/>
                <w:sz w:val="24"/>
                <w:szCs w:val="24"/>
                <w:highlight w:val="none"/>
                <w:vertAlign w:val="baseline"/>
                <w:lang w:val="en-US" w:eastAsia="zh-CN"/>
              </w:rPr>
            </w:pPr>
            <w:r>
              <w:rPr>
                <w:rFonts w:hint="eastAsia" w:ascii="宋体" w:hAnsi="宋体" w:eastAsia="宋体" w:cs="宋体"/>
                <w:sz w:val="24"/>
                <w:highlight w:val="none"/>
              </w:rPr>
              <w:t>(3)为可能增加的自助健康体检项目预留模块接口，确保系统的可扩展性。</w:t>
            </w:r>
          </w:p>
        </w:tc>
        <w:tc>
          <w:tcPr>
            <w:tcW w:w="750" w:type="dxa"/>
          </w:tcPr>
          <w:p>
            <w:pPr>
              <w:pStyle w:val="9"/>
              <w:keepNext w:val="0"/>
              <w:keepLines w:val="0"/>
              <w:pageBreakBefore w:val="0"/>
              <w:kinsoku/>
              <w:wordWrap/>
              <w:overflowPunct/>
              <w:topLinePunct w:val="0"/>
              <w:bidi w:val="0"/>
              <w:spacing w:line="312" w:lineRule="auto"/>
              <w:rPr>
                <w:rFonts w:hint="eastAsia" w:hAnsi="宋体" w:cs="宋体"/>
                <w:sz w:val="24"/>
                <w:szCs w:val="24"/>
                <w:highlight w:val="none"/>
                <w:vertAlign w:val="baseline"/>
                <w:lang w:val="en-US" w:eastAsia="zh-CN"/>
              </w:rPr>
            </w:pPr>
          </w:p>
          <w:p>
            <w:pPr>
              <w:pStyle w:val="9"/>
              <w:keepNext w:val="0"/>
              <w:keepLines w:val="0"/>
              <w:pageBreakBefore w:val="0"/>
              <w:kinsoku/>
              <w:wordWrap/>
              <w:overflowPunct/>
              <w:topLinePunct w:val="0"/>
              <w:bidi w:val="0"/>
              <w:spacing w:line="312" w:lineRule="auto"/>
              <w:rPr>
                <w:rFonts w:hint="eastAsia" w:hAnsi="宋体" w:cs="宋体"/>
                <w:sz w:val="24"/>
                <w:szCs w:val="24"/>
                <w:highlight w:val="none"/>
                <w:vertAlign w:val="baseline"/>
                <w:lang w:val="en-US" w:eastAsia="zh-CN"/>
              </w:rPr>
            </w:pPr>
          </w:p>
          <w:p>
            <w:pPr>
              <w:pStyle w:val="9"/>
              <w:keepNext w:val="0"/>
              <w:keepLines w:val="0"/>
              <w:pageBreakBefore w:val="0"/>
              <w:kinsoku/>
              <w:wordWrap/>
              <w:overflowPunct/>
              <w:topLinePunct w:val="0"/>
              <w:bidi w:val="0"/>
              <w:spacing w:line="312" w:lineRule="auto"/>
              <w:rPr>
                <w:rFonts w:hint="eastAsia" w:hAnsi="宋体" w:cs="宋体"/>
                <w:sz w:val="24"/>
                <w:szCs w:val="24"/>
                <w:highlight w:val="none"/>
                <w:vertAlign w:val="baseline"/>
                <w:lang w:val="en-US" w:eastAsia="zh-CN"/>
              </w:rPr>
            </w:pPr>
          </w:p>
          <w:p>
            <w:pPr>
              <w:pStyle w:val="9"/>
              <w:keepNext w:val="0"/>
              <w:keepLines w:val="0"/>
              <w:pageBreakBefore w:val="0"/>
              <w:kinsoku/>
              <w:wordWrap/>
              <w:overflowPunct/>
              <w:topLinePunct w:val="0"/>
              <w:bidi w:val="0"/>
              <w:spacing w:line="312" w:lineRule="auto"/>
              <w:rPr>
                <w:rFonts w:hint="eastAsia" w:hAnsi="宋体" w:cs="宋体"/>
                <w:sz w:val="24"/>
                <w:szCs w:val="24"/>
                <w:highlight w:val="none"/>
                <w:vertAlign w:val="baseline"/>
                <w:lang w:val="en-US" w:eastAsia="zh-CN"/>
              </w:rPr>
            </w:pPr>
          </w:p>
          <w:p>
            <w:pPr>
              <w:pStyle w:val="9"/>
              <w:keepNext w:val="0"/>
              <w:keepLines w:val="0"/>
              <w:pageBreakBefore w:val="0"/>
              <w:kinsoku/>
              <w:wordWrap/>
              <w:overflowPunct/>
              <w:topLinePunct w:val="0"/>
              <w:bidi w:val="0"/>
              <w:spacing w:line="312" w:lineRule="auto"/>
              <w:rPr>
                <w:rFonts w:hint="eastAsia" w:hAnsi="宋体" w:cs="宋体"/>
                <w:sz w:val="24"/>
                <w:szCs w:val="24"/>
                <w:highlight w:val="none"/>
                <w:vertAlign w:val="baseline"/>
                <w:lang w:val="en-US" w:eastAsia="zh-CN"/>
              </w:rPr>
            </w:pPr>
          </w:p>
          <w:p>
            <w:pPr>
              <w:pStyle w:val="9"/>
              <w:keepNext w:val="0"/>
              <w:keepLines w:val="0"/>
              <w:pageBreakBefore w:val="0"/>
              <w:kinsoku/>
              <w:wordWrap/>
              <w:overflowPunct/>
              <w:topLinePunct w:val="0"/>
              <w:bidi w:val="0"/>
              <w:spacing w:line="312" w:lineRule="auto"/>
              <w:rPr>
                <w:rFonts w:hint="eastAsia" w:hAnsi="宋体" w:cs="宋体"/>
                <w:sz w:val="24"/>
                <w:szCs w:val="24"/>
                <w:highlight w:val="none"/>
                <w:vertAlign w:val="baseline"/>
                <w:lang w:val="en-US" w:eastAsia="zh-CN"/>
              </w:rPr>
            </w:pPr>
          </w:p>
          <w:p>
            <w:pPr>
              <w:pStyle w:val="9"/>
              <w:keepNext w:val="0"/>
              <w:keepLines w:val="0"/>
              <w:pageBreakBefore w:val="0"/>
              <w:kinsoku/>
              <w:wordWrap/>
              <w:overflowPunct/>
              <w:topLinePunct w:val="0"/>
              <w:bidi w:val="0"/>
              <w:spacing w:line="312" w:lineRule="auto"/>
              <w:rPr>
                <w:rFonts w:hint="eastAsia" w:hAnsi="宋体" w:cs="宋体"/>
                <w:sz w:val="24"/>
                <w:szCs w:val="24"/>
                <w:highlight w:val="none"/>
                <w:vertAlign w:val="baseline"/>
                <w:lang w:val="en-US" w:eastAsia="zh-CN"/>
              </w:rPr>
            </w:pPr>
          </w:p>
          <w:p>
            <w:pPr>
              <w:pStyle w:val="9"/>
              <w:keepNext w:val="0"/>
              <w:keepLines w:val="0"/>
              <w:pageBreakBefore w:val="0"/>
              <w:kinsoku/>
              <w:wordWrap/>
              <w:overflowPunct/>
              <w:topLinePunct w:val="0"/>
              <w:bidi w:val="0"/>
              <w:spacing w:line="312" w:lineRule="auto"/>
              <w:rPr>
                <w:rFonts w:hint="eastAsia" w:hAnsi="宋体" w:cs="宋体"/>
                <w:sz w:val="24"/>
                <w:szCs w:val="24"/>
                <w:highlight w:val="none"/>
                <w:vertAlign w:val="baseline"/>
                <w:lang w:val="en-US" w:eastAsia="zh-CN"/>
              </w:rPr>
            </w:pPr>
          </w:p>
          <w:p>
            <w:pPr>
              <w:pStyle w:val="9"/>
              <w:keepNext w:val="0"/>
              <w:keepLines w:val="0"/>
              <w:pageBreakBefore w:val="0"/>
              <w:kinsoku/>
              <w:wordWrap/>
              <w:overflowPunct/>
              <w:topLinePunct w:val="0"/>
              <w:bidi w:val="0"/>
              <w:spacing w:line="312" w:lineRule="auto"/>
              <w:rPr>
                <w:rFonts w:hint="default" w:hAnsi="宋体" w:eastAsia="宋体" w:cs="宋体"/>
                <w:sz w:val="24"/>
                <w:szCs w:val="24"/>
                <w:highlight w:val="none"/>
                <w:vertAlign w:val="baseline"/>
                <w:lang w:val="en-US" w:eastAsia="zh-CN"/>
              </w:rPr>
            </w:pPr>
            <w:r>
              <w:rPr>
                <w:rFonts w:hint="eastAsia" w:hAnsi="宋体" w:cs="宋体"/>
                <w:sz w:val="24"/>
                <w:szCs w:val="24"/>
                <w:highlight w:val="none"/>
                <w:vertAlign w:val="baseline"/>
                <w:lang w:val="en-US" w:eastAsia="zh-CN"/>
              </w:rPr>
              <w:t>台</w:t>
            </w:r>
          </w:p>
        </w:tc>
        <w:tc>
          <w:tcPr>
            <w:tcW w:w="666" w:type="dxa"/>
          </w:tcPr>
          <w:p>
            <w:pPr>
              <w:pStyle w:val="9"/>
              <w:keepNext w:val="0"/>
              <w:keepLines w:val="0"/>
              <w:pageBreakBefore w:val="0"/>
              <w:kinsoku/>
              <w:wordWrap/>
              <w:overflowPunct/>
              <w:topLinePunct w:val="0"/>
              <w:bidi w:val="0"/>
              <w:spacing w:line="312" w:lineRule="auto"/>
              <w:rPr>
                <w:rFonts w:hint="eastAsia" w:hAnsi="宋体" w:cs="宋体"/>
                <w:sz w:val="24"/>
                <w:szCs w:val="24"/>
                <w:highlight w:val="none"/>
                <w:vertAlign w:val="baseline"/>
                <w:lang w:val="en-US" w:eastAsia="zh-CN"/>
              </w:rPr>
            </w:pPr>
          </w:p>
          <w:p>
            <w:pPr>
              <w:pStyle w:val="9"/>
              <w:keepNext w:val="0"/>
              <w:keepLines w:val="0"/>
              <w:pageBreakBefore w:val="0"/>
              <w:kinsoku/>
              <w:wordWrap/>
              <w:overflowPunct/>
              <w:topLinePunct w:val="0"/>
              <w:bidi w:val="0"/>
              <w:spacing w:line="312" w:lineRule="auto"/>
              <w:rPr>
                <w:rFonts w:hint="eastAsia" w:hAnsi="宋体" w:cs="宋体"/>
                <w:sz w:val="24"/>
                <w:szCs w:val="24"/>
                <w:highlight w:val="none"/>
                <w:vertAlign w:val="baseline"/>
                <w:lang w:val="en-US" w:eastAsia="zh-CN"/>
              </w:rPr>
            </w:pPr>
          </w:p>
          <w:p>
            <w:pPr>
              <w:pStyle w:val="9"/>
              <w:keepNext w:val="0"/>
              <w:keepLines w:val="0"/>
              <w:pageBreakBefore w:val="0"/>
              <w:kinsoku/>
              <w:wordWrap/>
              <w:overflowPunct/>
              <w:topLinePunct w:val="0"/>
              <w:bidi w:val="0"/>
              <w:spacing w:line="312" w:lineRule="auto"/>
              <w:rPr>
                <w:rFonts w:hint="eastAsia" w:hAnsi="宋体" w:cs="宋体"/>
                <w:sz w:val="24"/>
                <w:szCs w:val="24"/>
                <w:highlight w:val="none"/>
                <w:vertAlign w:val="baseline"/>
                <w:lang w:val="en-US" w:eastAsia="zh-CN"/>
              </w:rPr>
            </w:pPr>
          </w:p>
          <w:p>
            <w:pPr>
              <w:pStyle w:val="9"/>
              <w:keepNext w:val="0"/>
              <w:keepLines w:val="0"/>
              <w:pageBreakBefore w:val="0"/>
              <w:kinsoku/>
              <w:wordWrap/>
              <w:overflowPunct/>
              <w:topLinePunct w:val="0"/>
              <w:bidi w:val="0"/>
              <w:spacing w:line="312" w:lineRule="auto"/>
              <w:rPr>
                <w:rFonts w:hint="eastAsia" w:hAnsi="宋体" w:cs="宋体"/>
                <w:sz w:val="24"/>
                <w:szCs w:val="24"/>
                <w:highlight w:val="none"/>
                <w:vertAlign w:val="baseline"/>
                <w:lang w:val="en-US" w:eastAsia="zh-CN"/>
              </w:rPr>
            </w:pPr>
          </w:p>
          <w:p>
            <w:pPr>
              <w:pStyle w:val="9"/>
              <w:keepNext w:val="0"/>
              <w:keepLines w:val="0"/>
              <w:pageBreakBefore w:val="0"/>
              <w:kinsoku/>
              <w:wordWrap/>
              <w:overflowPunct/>
              <w:topLinePunct w:val="0"/>
              <w:bidi w:val="0"/>
              <w:spacing w:line="312" w:lineRule="auto"/>
              <w:rPr>
                <w:rFonts w:hint="eastAsia" w:hAnsi="宋体" w:cs="宋体"/>
                <w:sz w:val="24"/>
                <w:szCs w:val="24"/>
                <w:highlight w:val="none"/>
                <w:vertAlign w:val="baseline"/>
                <w:lang w:val="en-US" w:eastAsia="zh-CN"/>
              </w:rPr>
            </w:pPr>
          </w:p>
          <w:p>
            <w:pPr>
              <w:pStyle w:val="9"/>
              <w:keepNext w:val="0"/>
              <w:keepLines w:val="0"/>
              <w:pageBreakBefore w:val="0"/>
              <w:kinsoku/>
              <w:wordWrap/>
              <w:overflowPunct/>
              <w:topLinePunct w:val="0"/>
              <w:bidi w:val="0"/>
              <w:spacing w:line="312" w:lineRule="auto"/>
              <w:rPr>
                <w:rFonts w:hint="eastAsia" w:hAnsi="宋体" w:cs="宋体"/>
                <w:sz w:val="24"/>
                <w:szCs w:val="24"/>
                <w:highlight w:val="none"/>
                <w:vertAlign w:val="baseline"/>
                <w:lang w:val="en-US" w:eastAsia="zh-CN"/>
              </w:rPr>
            </w:pPr>
          </w:p>
          <w:p>
            <w:pPr>
              <w:pStyle w:val="9"/>
              <w:keepNext w:val="0"/>
              <w:keepLines w:val="0"/>
              <w:pageBreakBefore w:val="0"/>
              <w:kinsoku/>
              <w:wordWrap/>
              <w:overflowPunct/>
              <w:topLinePunct w:val="0"/>
              <w:bidi w:val="0"/>
              <w:spacing w:line="312" w:lineRule="auto"/>
              <w:rPr>
                <w:rFonts w:hint="eastAsia" w:hAnsi="宋体" w:cs="宋体"/>
                <w:sz w:val="24"/>
                <w:szCs w:val="24"/>
                <w:highlight w:val="none"/>
                <w:vertAlign w:val="baseline"/>
                <w:lang w:val="en-US" w:eastAsia="zh-CN"/>
              </w:rPr>
            </w:pPr>
          </w:p>
          <w:p>
            <w:pPr>
              <w:pStyle w:val="9"/>
              <w:keepNext w:val="0"/>
              <w:keepLines w:val="0"/>
              <w:pageBreakBefore w:val="0"/>
              <w:kinsoku/>
              <w:wordWrap/>
              <w:overflowPunct/>
              <w:topLinePunct w:val="0"/>
              <w:bidi w:val="0"/>
              <w:spacing w:line="312" w:lineRule="auto"/>
              <w:rPr>
                <w:rFonts w:hint="eastAsia" w:hAnsi="宋体" w:cs="宋体"/>
                <w:sz w:val="24"/>
                <w:szCs w:val="24"/>
                <w:highlight w:val="none"/>
                <w:vertAlign w:val="baseline"/>
                <w:lang w:val="en-US" w:eastAsia="zh-CN"/>
              </w:rPr>
            </w:pPr>
          </w:p>
          <w:p>
            <w:pPr>
              <w:pStyle w:val="9"/>
              <w:keepNext w:val="0"/>
              <w:keepLines w:val="0"/>
              <w:pageBreakBefore w:val="0"/>
              <w:kinsoku/>
              <w:wordWrap/>
              <w:overflowPunct/>
              <w:topLinePunct w:val="0"/>
              <w:bidi w:val="0"/>
              <w:spacing w:line="312" w:lineRule="auto"/>
              <w:rPr>
                <w:rFonts w:hint="default" w:hAnsi="宋体" w:eastAsia="宋体" w:cs="宋体"/>
                <w:sz w:val="24"/>
                <w:szCs w:val="24"/>
                <w:highlight w:val="none"/>
                <w:vertAlign w:val="baseline"/>
                <w:lang w:val="en-US" w:eastAsia="zh-CN"/>
              </w:rPr>
            </w:pPr>
            <w:r>
              <w:rPr>
                <w:rFonts w:hint="eastAsia" w:hAnsi="宋体" w:cs="宋体"/>
                <w:sz w:val="24"/>
                <w:szCs w:val="24"/>
                <w:highlight w:val="none"/>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0" w:type="dxa"/>
            <w:vAlign w:val="center"/>
          </w:tcPr>
          <w:p>
            <w:pPr>
              <w:jc w:val="center"/>
              <w:rPr>
                <w:rFonts w:hint="eastAsia" w:asciiTheme="minorEastAsia" w:hAnsiTheme="minorEastAsia"/>
                <w:sz w:val="24"/>
              </w:rPr>
            </w:pPr>
            <w:r>
              <w:rPr>
                <w:rFonts w:hint="eastAsia" w:asciiTheme="minorEastAsia" w:hAnsiTheme="minorEastAsia"/>
                <w:sz w:val="24"/>
              </w:rPr>
              <w:t>配</w:t>
            </w:r>
          </w:p>
          <w:p>
            <w:pPr>
              <w:jc w:val="center"/>
              <w:rPr>
                <w:rFonts w:hint="eastAsia" w:asciiTheme="minorEastAsia" w:hAnsiTheme="minorEastAsia"/>
                <w:sz w:val="24"/>
              </w:rPr>
            </w:pPr>
            <w:r>
              <w:rPr>
                <w:rFonts w:hint="eastAsia" w:asciiTheme="minorEastAsia" w:hAnsiTheme="minorEastAsia"/>
                <w:sz w:val="24"/>
              </w:rPr>
              <w:t>置</w:t>
            </w:r>
          </w:p>
          <w:p>
            <w:pPr>
              <w:jc w:val="center"/>
              <w:rPr>
                <w:rFonts w:hint="eastAsia" w:asciiTheme="minorEastAsia" w:hAnsiTheme="minorEastAsia"/>
                <w:sz w:val="24"/>
              </w:rPr>
            </w:pPr>
            <w:r>
              <w:rPr>
                <w:rFonts w:hint="eastAsia" w:asciiTheme="minorEastAsia" w:hAnsiTheme="minorEastAsia"/>
                <w:sz w:val="24"/>
              </w:rPr>
              <w:t>清</w:t>
            </w:r>
          </w:p>
          <w:p>
            <w:pPr>
              <w:jc w:val="center"/>
              <w:rPr>
                <w:rFonts w:asciiTheme="minorEastAsia" w:hAnsiTheme="minorEastAsia"/>
                <w:sz w:val="24"/>
              </w:rPr>
            </w:pPr>
            <w:r>
              <w:rPr>
                <w:rFonts w:hint="eastAsia" w:asciiTheme="minorEastAsia" w:hAnsiTheme="minorEastAsia"/>
                <w:sz w:val="24"/>
              </w:rPr>
              <w:t>单</w:t>
            </w:r>
          </w:p>
          <w:p>
            <w:pPr>
              <w:pStyle w:val="9"/>
              <w:keepNext w:val="0"/>
              <w:keepLines w:val="0"/>
              <w:pageBreakBefore w:val="0"/>
              <w:kinsoku/>
              <w:wordWrap/>
              <w:overflowPunct/>
              <w:topLinePunct w:val="0"/>
              <w:bidi w:val="0"/>
              <w:spacing w:line="312" w:lineRule="auto"/>
              <w:jc w:val="center"/>
              <w:rPr>
                <w:rFonts w:hint="eastAsia" w:hAnsi="宋体" w:cs="宋体"/>
                <w:sz w:val="24"/>
                <w:szCs w:val="24"/>
                <w:highlight w:val="yellow"/>
                <w:vertAlign w:val="baseline"/>
                <w:lang w:val="en-US" w:eastAsia="zh-CN"/>
              </w:rPr>
            </w:pPr>
          </w:p>
        </w:tc>
        <w:tc>
          <w:tcPr>
            <w:tcW w:w="5706" w:type="dxa"/>
          </w:tcPr>
          <w:p>
            <w:pPr>
              <w:numPr>
                <w:ilvl w:val="0"/>
                <w:numId w:val="9"/>
              </w:numPr>
              <w:rPr>
                <w:rFonts w:asciiTheme="minorEastAsia" w:hAnsiTheme="minorEastAsia"/>
                <w:sz w:val="24"/>
              </w:rPr>
            </w:pPr>
            <w:r>
              <w:rPr>
                <w:rFonts w:hint="eastAsia" w:asciiTheme="minorEastAsia" w:hAnsiTheme="minorEastAsia"/>
                <w:sz w:val="24"/>
              </w:rPr>
              <w:t>信息工作站主机（含身高、体重、体温、血压、）1台</w:t>
            </w:r>
          </w:p>
          <w:p>
            <w:pPr>
              <w:numPr>
                <w:ilvl w:val="0"/>
                <w:numId w:val="9"/>
              </w:numPr>
              <w:rPr>
                <w:rFonts w:asciiTheme="minorEastAsia" w:hAnsiTheme="minorEastAsia"/>
                <w:sz w:val="24"/>
              </w:rPr>
            </w:pPr>
            <w:r>
              <w:rPr>
                <w:rFonts w:hint="eastAsia" w:asciiTheme="minorEastAsia" w:hAnsiTheme="minorEastAsia"/>
                <w:sz w:val="24"/>
              </w:rPr>
              <w:t>10.1寸显示屏1个</w:t>
            </w:r>
          </w:p>
          <w:p>
            <w:pPr>
              <w:numPr>
                <w:ilvl w:val="0"/>
                <w:numId w:val="9"/>
              </w:numPr>
              <w:rPr>
                <w:rFonts w:asciiTheme="minorEastAsia" w:hAnsiTheme="minorEastAsia"/>
                <w:sz w:val="24"/>
              </w:rPr>
            </w:pPr>
            <w:r>
              <w:rPr>
                <w:rFonts w:hint="eastAsia" w:asciiTheme="minorEastAsia" w:hAnsiTheme="minorEastAsia"/>
                <w:sz w:val="24"/>
              </w:rPr>
              <w:t>身份证读卡器或扫码仪1个</w:t>
            </w:r>
          </w:p>
          <w:p>
            <w:pPr>
              <w:numPr>
                <w:ilvl w:val="0"/>
                <w:numId w:val="9"/>
              </w:numPr>
              <w:rPr>
                <w:rFonts w:asciiTheme="minorEastAsia" w:hAnsiTheme="minorEastAsia"/>
                <w:sz w:val="24"/>
              </w:rPr>
            </w:pPr>
            <w:r>
              <w:rPr>
                <w:rFonts w:hint="eastAsia" w:asciiTheme="minorEastAsia" w:hAnsiTheme="minorEastAsia"/>
                <w:sz w:val="24"/>
              </w:rPr>
              <w:t>热敏打印机1个</w:t>
            </w:r>
          </w:p>
          <w:p>
            <w:pPr>
              <w:numPr>
                <w:ilvl w:val="0"/>
                <w:numId w:val="9"/>
              </w:numPr>
              <w:rPr>
                <w:rFonts w:asciiTheme="minorEastAsia" w:hAnsiTheme="minorEastAsia"/>
                <w:sz w:val="24"/>
              </w:rPr>
            </w:pPr>
            <w:r>
              <w:rPr>
                <w:rFonts w:hint="eastAsia" w:asciiTheme="minorEastAsia" w:hAnsiTheme="minorEastAsia"/>
                <w:sz w:val="24"/>
              </w:rPr>
              <w:t>测量软件1套</w:t>
            </w:r>
          </w:p>
          <w:p>
            <w:pPr>
              <w:numPr>
                <w:ilvl w:val="0"/>
                <w:numId w:val="9"/>
              </w:numPr>
              <w:rPr>
                <w:rFonts w:asciiTheme="minorEastAsia" w:hAnsiTheme="minorEastAsia"/>
                <w:sz w:val="24"/>
              </w:rPr>
            </w:pPr>
            <w:r>
              <w:rPr>
                <w:rFonts w:hint="eastAsia" w:asciiTheme="minorEastAsia" w:hAnsiTheme="minorEastAsia"/>
                <w:sz w:val="24"/>
              </w:rPr>
              <w:t>电源1套</w:t>
            </w:r>
          </w:p>
          <w:p>
            <w:pPr>
              <w:numPr>
                <w:ilvl w:val="0"/>
                <w:numId w:val="9"/>
              </w:numPr>
              <w:rPr>
                <w:rFonts w:asciiTheme="minorEastAsia" w:hAnsiTheme="minorEastAsia"/>
                <w:sz w:val="24"/>
              </w:rPr>
            </w:pPr>
            <w:r>
              <w:rPr>
                <w:rFonts w:hint="eastAsia" w:asciiTheme="minorEastAsia" w:hAnsiTheme="minorEastAsia"/>
                <w:sz w:val="24"/>
              </w:rPr>
              <w:t>说明书1份</w:t>
            </w:r>
          </w:p>
          <w:p>
            <w:pPr>
              <w:numPr>
                <w:ilvl w:val="0"/>
                <w:numId w:val="9"/>
              </w:numPr>
              <w:rPr>
                <w:rFonts w:asciiTheme="minorEastAsia" w:hAnsiTheme="minorEastAsia"/>
                <w:sz w:val="24"/>
              </w:rPr>
            </w:pPr>
            <w:r>
              <w:rPr>
                <w:rFonts w:hint="eastAsia" w:asciiTheme="minorEastAsia" w:hAnsiTheme="minorEastAsia"/>
                <w:sz w:val="24"/>
              </w:rPr>
              <w:t>保修卡1份</w:t>
            </w:r>
          </w:p>
          <w:p>
            <w:pPr>
              <w:spacing w:line="360" w:lineRule="auto"/>
              <w:ind w:firstLine="240" w:firstLineChars="100"/>
              <w:rPr>
                <w:rFonts w:hint="eastAsia" w:ascii="宋体" w:hAnsi="宋体" w:eastAsia="宋体" w:cs="宋体"/>
                <w:sz w:val="24"/>
              </w:rPr>
            </w:pPr>
          </w:p>
        </w:tc>
        <w:tc>
          <w:tcPr>
            <w:tcW w:w="750" w:type="dxa"/>
            <w:vAlign w:val="center"/>
          </w:tcPr>
          <w:p>
            <w:pPr>
              <w:pStyle w:val="9"/>
              <w:keepNext w:val="0"/>
              <w:keepLines w:val="0"/>
              <w:pageBreakBefore w:val="0"/>
              <w:kinsoku/>
              <w:wordWrap/>
              <w:overflowPunct/>
              <w:topLinePunct w:val="0"/>
              <w:bidi w:val="0"/>
              <w:spacing w:line="312" w:lineRule="auto"/>
              <w:jc w:val="both"/>
              <w:rPr>
                <w:rFonts w:hint="eastAsia" w:hAnsi="宋体" w:cs="宋体"/>
                <w:sz w:val="24"/>
                <w:szCs w:val="24"/>
                <w:highlight w:val="none"/>
                <w:vertAlign w:val="baseline"/>
                <w:lang w:val="en-US" w:eastAsia="zh-CN"/>
              </w:rPr>
            </w:pPr>
          </w:p>
          <w:p>
            <w:pPr>
              <w:pStyle w:val="9"/>
              <w:keepNext w:val="0"/>
              <w:keepLines w:val="0"/>
              <w:pageBreakBefore w:val="0"/>
              <w:kinsoku/>
              <w:wordWrap/>
              <w:overflowPunct/>
              <w:topLinePunct w:val="0"/>
              <w:bidi w:val="0"/>
              <w:spacing w:line="312" w:lineRule="auto"/>
              <w:jc w:val="center"/>
              <w:rPr>
                <w:rFonts w:hint="eastAsia" w:hAnsi="宋体" w:cs="宋体"/>
                <w:sz w:val="24"/>
                <w:szCs w:val="24"/>
                <w:highlight w:val="none"/>
                <w:vertAlign w:val="baseline"/>
                <w:lang w:val="en-US" w:eastAsia="zh-CN"/>
              </w:rPr>
            </w:pPr>
          </w:p>
          <w:p>
            <w:pPr>
              <w:pStyle w:val="9"/>
              <w:keepNext w:val="0"/>
              <w:keepLines w:val="0"/>
              <w:pageBreakBefore w:val="0"/>
              <w:kinsoku/>
              <w:wordWrap/>
              <w:overflowPunct/>
              <w:topLinePunct w:val="0"/>
              <w:bidi w:val="0"/>
              <w:spacing w:line="312" w:lineRule="auto"/>
              <w:jc w:val="center"/>
              <w:rPr>
                <w:rFonts w:hint="default" w:hAnsi="宋体" w:cs="宋体"/>
                <w:sz w:val="24"/>
                <w:szCs w:val="24"/>
                <w:highlight w:val="none"/>
                <w:vertAlign w:val="baseline"/>
                <w:lang w:val="en-US" w:eastAsia="zh-CN"/>
              </w:rPr>
            </w:pPr>
            <w:r>
              <w:rPr>
                <w:rFonts w:hint="eastAsia" w:hAnsi="宋体" w:cs="宋体"/>
                <w:sz w:val="24"/>
                <w:szCs w:val="24"/>
                <w:highlight w:val="none"/>
                <w:vertAlign w:val="baseline"/>
                <w:lang w:val="en-US" w:eastAsia="zh-CN"/>
              </w:rPr>
              <w:t>套</w:t>
            </w:r>
          </w:p>
        </w:tc>
        <w:tc>
          <w:tcPr>
            <w:tcW w:w="666" w:type="dxa"/>
            <w:vAlign w:val="center"/>
          </w:tcPr>
          <w:p>
            <w:pPr>
              <w:pStyle w:val="9"/>
              <w:keepNext w:val="0"/>
              <w:keepLines w:val="0"/>
              <w:pageBreakBefore w:val="0"/>
              <w:kinsoku/>
              <w:wordWrap/>
              <w:overflowPunct/>
              <w:topLinePunct w:val="0"/>
              <w:bidi w:val="0"/>
              <w:spacing w:line="312" w:lineRule="auto"/>
              <w:jc w:val="both"/>
              <w:rPr>
                <w:rFonts w:hint="eastAsia" w:hAnsi="宋体" w:cs="宋体"/>
                <w:sz w:val="24"/>
                <w:szCs w:val="24"/>
                <w:highlight w:val="none"/>
                <w:vertAlign w:val="baseline"/>
                <w:lang w:val="en-US" w:eastAsia="zh-CN"/>
              </w:rPr>
            </w:pPr>
          </w:p>
          <w:p>
            <w:pPr>
              <w:pStyle w:val="9"/>
              <w:keepNext w:val="0"/>
              <w:keepLines w:val="0"/>
              <w:pageBreakBefore w:val="0"/>
              <w:kinsoku/>
              <w:wordWrap/>
              <w:overflowPunct/>
              <w:topLinePunct w:val="0"/>
              <w:bidi w:val="0"/>
              <w:spacing w:line="312" w:lineRule="auto"/>
              <w:jc w:val="center"/>
              <w:rPr>
                <w:rFonts w:hint="eastAsia" w:hAnsi="宋体" w:cs="宋体"/>
                <w:sz w:val="24"/>
                <w:szCs w:val="24"/>
                <w:highlight w:val="none"/>
                <w:vertAlign w:val="baseline"/>
                <w:lang w:val="en-US" w:eastAsia="zh-CN"/>
              </w:rPr>
            </w:pPr>
          </w:p>
          <w:p>
            <w:pPr>
              <w:pStyle w:val="9"/>
              <w:keepNext w:val="0"/>
              <w:keepLines w:val="0"/>
              <w:pageBreakBefore w:val="0"/>
              <w:kinsoku/>
              <w:wordWrap/>
              <w:overflowPunct/>
              <w:topLinePunct w:val="0"/>
              <w:bidi w:val="0"/>
              <w:spacing w:line="312" w:lineRule="auto"/>
              <w:jc w:val="center"/>
              <w:rPr>
                <w:rFonts w:hint="default" w:hAnsi="宋体" w:cs="宋体"/>
                <w:sz w:val="24"/>
                <w:szCs w:val="24"/>
                <w:highlight w:val="none"/>
                <w:vertAlign w:val="baseline"/>
                <w:lang w:val="en-US" w:eastAsia="zh-CN"/>
              </w:rPr>
            </w:pPr>
            <w:r>
              <w:rPr>
                <w:rFonts w:hint="eastAsia" w:hAnsi="宋体" w:cs="宋体"/>
                <w:sz w:val="24"/>
                <w:szCs w:val="24"/>
                <w:highlight w:val="none"/>
                <w:vertAlign w:val="baseline"/>
                <w:lang w:val="en-US" w:eastAsia="zh-CN"/>
              </w:rPr>
              <w:t>1</w:t>
            </w:r>
          </w:p>
        </w:tc>
      </w:tr>
    </w:tbl>
    <w:p>
      <w:pPr>
        <w:pStyle w:val="9"/>
        <w:keepNext w:val="0"/>
        <w:keepLines w:val="0"/>
        <w:pageBreakBefore w:val="0"/>
        <w:kinsoku/>
        <w:wordWrap/>
        <w:overflowPunct/>
        <w:topLinePunct w:val="0"/>
        <w:bidi w:val="0"/>
        <w:spacing w:line="312" w:lineRule="auto"/>
        <w:ind w:firstLine="480" w:firstLineChars="200"/>
        <w:rPr>
          <w:rFonts w:hint="default" w:hAnsi="宋体" w:eastAsia="宋体" w:cs="宋体"/>
          <w:sz w:val="24"/>
          <w:szCs w:val="24"/>
          <w:highlight w:val="yellow"/>
          <w:lang w:val="en-US" w:eastAsia="zh-CN"/>
        </w:rPr>
      </w:pPr>
    </w:p>
    <w:p>
      <w:pPr>
        <w:keepNext w:val="0"/>
        <w:keepLines w:val="0"/>
        <w:pageBreakBefore w:val="0"/>
        <w:kinsoku/>
        <w:wordWrap/>
        <w:overflowPunct/>
        <w:topLinePunct w:val="0"/>
        <w:bidi w:val="0"/>
        <w:spacing w:line="312" w:lineRule="auto"/>
        <w:outlineLvl w:val="1"/>
        <w:rPr>
          <w:rFonts w:hint="eastAsia" w:hAnsi="宋体" w:cs="宋体"/>
          <w:b/>
          <w:sz w:val="24"/>
          <w:szCs w:val="24"/>
          <w:highlight w:val="none"/>
        </w:rPr>
      </w:pPr>
      <w:r>
        <w:rPr>
          <w:rFonts w:hint="eastAsia" w:hAnsi="宋体" w:cs="宋体"/>
          <w:b/>
          <w:sz w:val="24"/>
          <w:szCs w:val="24"/>
          <w:highlight w:val="none"/>
        </w:rPr>
        <w:t>以上</w:t>
      </w:r>
      <w:r>
        <w:rPr>
          <w:rFonts w:hint="eastAsia" w:hAnsi="宋体" w:cs="宋体"/>
          <w:b/>
          <w:sz w:val="24"/>
          <w:szCs w:val="24"/>
          <w:highlight w:val="none"/>
          <w:lang w:eastAsia="zh-CN"/>
        </w:rPr>
        <w:t>服务要求</w:t>
      </w:r>
      <w:r>
        <w:rPr>
          <w:rFonts w:hint="eastAsia" w:hAnsi="宋体" w:cs="宋体"/>
          <w:b/>
          <w:sz w:val="24"/>
          <w:szCs w:val="24"/>
          <w:highlight w:val="none"/>
        </w:rPr>
        <w:t>供应商均需满足，有一项负偏离作为无效响应处理。</w:t>
      </w:r>
    </w:p>
    <w:p>
      <w:pPr>
        <w:keepNext w:val="0"/>
        <w:keepLines w:val="0"/>
        <w:pageBreakBefore w:val="0"/>
        <w:widowControl/>
        <w:kinsoku/>
        <w:wordWrap/>
        <w:overflowPunct/>
        <w:topLinePunct w:val="0"/>
        <w:bidi w:val="0"/>
        <w:spacing w:line="312" w:lineRule="auto"/>
        <w:jc w:val="left"/>
        <w:rPr>
          <w:highlight w:val="none"/>
        </w:rPr>
      </w:pPr>
      <w:r>
        <w:rPr>
          <w:rFonts w:hint="eastAsia" w:hAnsi="宋体" w:cs="宋体"/>
          <w:b/>
          <w:bCs/>
          <w:color w:val="000000"/>
          <w:sz w:val="24"/>
          <w:szCs w:val="24"/>
          <w:highlight w:val="none"/>
          <w:lang w:eastAsia="zh-CN" w:bidi="ar"/>
        </w:rPr>
        <w:t>三、</w:t>
      </w:r>
      <w:r>
        <w:rPr>
          <w:rFonts w:hint="eastAsia" w:hAnsi="宋体" w:cs="宋体"/>
          <w:b/>
          <w:bCs/>
          <w:color w:val="000000"/>
          <w:sz w:val="24"/>
          <w:szCs w:val="24"/>
          <w:highlight w:val="none"/>
          <w:lang w:bidi="ar"/>
        </w:rPr>
        <w:t>售后服务要求：</w:t>
      </w:r>
      <w:r>
        <w:rPr>
          <w:rFonts w:hint="eastAsia" w:hAnsi="宋体" w:cs="宋体"/>
          <w:color w:val="000000"/>
          <w:sz w:val="24"/>
          <w:szCs w:val="24"/>
          <w:highlight w:val="none"/>
          <w:lang w:val="en-US" w:eastAsia="zh-CN" w:bidi="ar"/>
        </w:rPr>
        <w:t>为项目申报提供后续服务和技术支持</w:t>
      </w:r>
      <w:r>
        <w:rPr>
          <w:rFonts w:hint="eastAsia" w:hAnsi="宋体" w:cs="宋体"/>
          <w:color w:val="000000"/>
          <w:sz w:val="24"/>
          <w:szCs w:val="24"/>
          <w:highlight w:val="none"/>
          <w:lang w:bidi="ar"/>
        </w:rPr>
        <w:t xml:space="preserve">。 </w:t>
      </w:r>
    </w:p>
    <w:p>
      <w:pPr>
        <w:keepNext w:val="0"/>
        <w:keepLines w:val="0"/>
        <w:pageBreakBefore w:val="0"/>
        <w:widowControl/>
        <w:kinsoku/>
        <w:wordWrap/>
        <w:overflowPunct/>
        <w:topLinePunct w:val="0"/>
        <w:bidi w:val="0"/>
        <w:spacing w:line="312" w:lineRule="auto"/>
        <w:jc w:val="left"/>
        <w:rPr>
          <w:highlight w:val="none"/>
        </w:rPr>
      </w:pPr>
      <w:r>
        <w:rPr>
          <w:rFonts w:hint="eastAsia" w:hAnsi="宋体" w:cs="宋体"/>
          <w:b/>
          <w:color w:val="000000"/>
          <w:sz w:val="24"/>
          <w:szCs w:val="24"/>
          <w:highlight w:val="none"/>
          <w:lang w:bidi="ar"/>
        </w:rPr>
        <w:t>注：供应商对以上服务要求需提供承诺函，未提供</w:t>
      </w:r>
      <w:r>
        <w:rPr>
          <w:rFonts w:hint="eastAsia" w:hAnsi="宋体" w:cs="宋体"/>
          <w:b/>
          <w:sz w:val="24"/>
          <w:szCs w:val="24"/>
          <w:highlight w:val="none"/>
        </w:rPr>
        <w:t>作为无效响应处理</w:t>
      </w:r>
      <w:r>
        <w:rPr>
          <w:rFonts w:hint="eastAsia" w:hAnsi="宋体" w:cs="宋体"/>
          <w:b/>
          <w:color w:val="000000"/>
          <w:sz w:val="24"/>
          <w:szCs w:val="24"/>
          <w:highlight w:val="none"/>
          <w:lang w:bidi="ar"/>
        </w:rPr>
        <w:t xml:space="preserve">。 </w:t>
      </w:r>
    </w:p>
    <w:p>
      <w:pPr>
        <w:keepNext w:val="0"/>
        <w:keepLines w:val="0"/>
        <w:pageBreakBefore w:val="0"/>
        <w:kinsoku/>
        <w:wordWrap/>
        <w:overflowPunct/>
        <w:topLinePunct w:val="0"/>
        <w:bidi w:val="0"/>
        <w:spacing w:line="312" w:lineRule="auto"/>
        <w:outlineLvl w:val="1"/>
        <w:rPr>
          <w:rFonts w:hint="eastAsia" w:hAnsi="宋体" w:cs="宋体"/>
          <w:b/>
          <w:sz w:val="24"/>
          <w:szCs w:val="24"/>
          <w:highlight w:val="none"/>
        </w:rPr>
      </w:pPr>
      <w:r>
        <w:rPr>
          <w:rFonts w:hint="eastAsia" w:hAnsi="宋体" w:cs="宋体"/>
          <w:b/>
          <w:sz w:val="24"/>
          <w:szCs w:val="24"/>
          <w:highlight w:val="none"/>
        </w:rPr>
        <w:t>商务部分：</w:t>
      </w:r>
    </w:p>
    <w:p>
      <w:pPr>
        <w:keepNext w:val="0"/>
        <w:keepLines w:val="0"/>
        <w:pageBreakBefore w:val="0"/>
        <w:widowControl/>
        <w:shd w:val="clear" w:color="auto" w:fill="FFFFFF"/>
        <w:kinsoku/>
        <w:wordWrap/>
        <w:overflowPunct/>
        <w:topLinePunct w:val="0"/>
        <w:bidi w:val="0"/>
        <w:adjustRightInd w:val="0"/>
        <w:snapToGrid w:val="0"/>
        <w:spacing w:line="312" w:lineRule="auto"/>
        <w:textAlignment w:val="baseline"/>
        <w:rPr>
          <w:rFonts w:hint="eastAsia" w:hAnsi="宋体" w:cs="宋体"/>
          <w:sz w:val="24"/>
          <w:szCs w:val="24"/>
          <w:highlight w:val="none"/>
        </w:rPr>
      </w:pPr>
      <w:r>
        <w:rPr>
          <w:rFonts w:hint="eastAsia" w:hAnsi="宋体" w:cs="宋体"/>
          <w:b/>
          <w:sz w:val="24"/>
          <w:szCs w:val="24"/>
          <w:highlight w:val="none"/>
        </w:rPr>
        <w:t>1、</w:t>
      </w:r>
      <w:r>
        <w:rPr>
          <w:rFonts w:hint="eastAsia" w:hAnsi="宋体" w:cs="宋体"/>
          <w:b/>
          <w:sz w:val="24"/>
          <w:szCs w:val="24"/>
          <w:highlight w:val="none"/>
          <w:lang w:eastAsia="zh-CN"/>
        </w:rPr>
        <w:t>服务时间</w:t>
      </w:r>
      <w:r>
        <w:rPr>
          <w:rFonts w:hint="eastAsia" w:hAnsi="宋体" w:cs="宋体"/>
          <w:b/>
          <w:sz w:val="24"/>
          <w:szCs w:val="24"/>
          <w:highlight w:val="none"/>
        </w:rPr>
        <w:t>：</w:t>
      </w:r>
      <w:r>
        <w:rPr>
          <w:rFonts w:hint="eastAsia" w:hAnsi="宋体" w:cs="宋体"/>
          <w:sz w:val="24"/>
          <w:szCs w:val="24"/>
          <w:highlight w:val="none"/>
          <w:lang w:eastAsia="zh-CN"/>
        </w:rPr>
        <w:t>于</w:t>
      </w:r>
      <w:r>
        <w:rPr>
          <w:rFonts w:hint="eastAsia" w:hAnsi="宋体" w:cs="宋体"/>
          <w:sz w:val="24"/>
          <w:szCs w:val="24"/>
          <w:highlight w:val="none"/>
          <w:lang w:val="en-US" w:eastAsia="zh-CN"/>
        </w:rPr>
        <w:t>2021年8月底前向采购人提供报告</w:t>
      </w:r>
      <w:r>
        <w:rPr>
          <w:rFonts w:hint="eastAsia" w:hAnsi="宋体" w:cs="宋体"/>
          <w:sz w:val="24"/>
          <w:szCs w:val="24"/>
          <w:highlight w:val="none"/>
        </w:rPr>
        <w:t>。</w:t>
      </w:r>
    </w:p>
    <w:p>
      <w:pPr>
        <w:keepNext w:val="0"/>
        <w:keepLines w:val="0"/>
        <w:pageBreakBefore w:val="0"/>
        <w:kinsoku/>
        <w:wordWrap/>
        <w:overflowPunct/>
        <w:topLinePunct w:val="0"/>
        <w:bidi w:val="0"/>
        <w:spacing w:line="312" w:lineRule="auto"/>
        <w:rPr>
          <w:rFonts w:hint="eastAsia" w:hAnsi="宋体" w:cs="宋体"/>
          <w:bCs/>
          <w:sz w:val="24"/>
          <w:szCs w:val="24"/>
          <w:highlight w:val="none"/>
        </w:rPr>
      </w:pPr>
      <w:r>
        <w:rPr>
          <w:rFonts w:hint="eastAsia" w:hAnsi="宋体" w:cs="宋体"/>
          <w:b/>
          <w:sz w:val="24"/>
          <w:szCs w:val="24"/>
          <w:highlight w:val="none"/>
        </w:rPr>
        <w:t>2、履约方式：</w:t>
      </w:r>
      <w:r>
        <w:rPr>
          <w:rFonts w:hint="eastAsia" w:hAnsi="宋体" w:cs="宋体"/>
          <w:bCs/>
          <w:sz w:val="24"/>
          <w:szCs w:val="24"/>
          <w:highlight w:val="none"/>
        </w:rPr>
        <w:t>签订合同时约定。</w:t>
      </w:r>
    </w:p>
    <w:p>
      <w:pPr>
        <w:keepNext w:val="0"/>
        <w:keepLines w:val="0"/>
        <w:pageBreakBefore w:val="0"/>
        <w:kinsoku/>
        <w:wordWrap/>
        <w:overflowPunct/>
        <w:topLinePunct w:val="0"/>
        <w:bidi w:val="0"/>
        <w:spacing w:line="312" w:lineRule="auto"/>
        <w:rPr>
          <w:rFonts w:hint="eastAsia" w:hAnsi="宋体" w:cs="宋体"/>
          <w:bCs/>
          <w:sz w:val="24"/>
          <w:szCs w:val="24"/>
          <w:highlight w:val="none"/>
        </w:rPr>
      </w:pPr>
      <w:r>
        <w:rPr>
          <w:rFonts w:hint="eastAsia" w:hAnsi="宋体" w:cs="宋体"/>
          <w:b/>
          <w:sz w:val="24"/>
          <w:szCs w:val="24"/>
          <w:highlight w:val="none"/>
        </w:rPr>
        <w:t>3、质量要求</w:t>
      </w:r>
      <w:r>
        <w:rPr>
          <w:rFonts w:hint="eastAsia" w:hAnsi="宋体" w:cs="宋体"/>
          <w:bCs/>
          <w:sz w:val="24"/>
          <w:szCs w:val="24"/>
          <w:highlight w:val="none"/>
        </w:rPr>
        <w:t>：按照谈判文件或成交人响应文件执行。</w:t>
      </w:r>
    </w:p>
    <w:p>
      <w:pPr>
        <w:keepNext w:val="0"/>
        <w:keepLines w:val="0"/>
        <w:pageBreakBefore w:val="0"/>
        <w:kinsoku/>
        <w:wordWrap/>
        <w:overflowPunct/>
        <w:topLinePunct w:val="0"/>
        <w:bidi w:val="0"/>
        <w:spacing w:line="312" w:lineRule="auto"/>
        <w:rPr>
          <w:rFonts w:hint="eastAsia" w:hAnsi="宋体" w:cs="宋体"/>
          <w:bCs/>
          <w:sz w:val="24"/>
          <w:szCs w:val="24"/>
          <w:highlight w:val="none"/>
        </w:rPr>
      </w:pPr>
      <w:r>
        <w:rPr>
          <w:rFonts w:hint="eastAsia" w:hAnsi="宋体" w:cs="宋体"/>
          <w:b/>
          <w:sz w:val="24"/>
          <w:szCs w:val="24"/>
          <w:highlight w:val="none"/>
        </w:rPr>
        <w:t>4、验收标准：</w:t>
      </w:r>
      <w:r>
        <w:rPr>
          <w:rFonts w:hint="eastAsia" w:hAnsi="宋体" w:cs="宋体"/>
          <w:bCs/>
          <w:sz w:val="24"/>
          <w:szCs w:val="24"/>
          <w:highlight w:val="none"/>
        </w:rPr>
        <w:t>成交人与采购人将严格参照《财政部关于进一步加强政府采购需求和履约验收管理的指导意见》(财库〔2016〕205号)。</w:t>
      </w:r>
    </w:p>
    <w:p>
      <w:pPr>
        <w:keepNext w:val="0"/>
        <w:keepLines w:val="0"/>
        <w:pageBreakBefore w:val="0"/>
        <w:kinsoku/>
        <w:wordWrap/>
        <w:overflowPunct/>
        <w:topLinePunct w:val="0"/>
        <w:bidi w:val="0"/>
        <w:spacing w:line="312" w:lineRule="auto"/>
        <w:rPr>
          <w:rFonts w:hint="default" w:hAnsi="宋体" w:cs="宋体"/>
          <w:b/>
          <w:bCs/>
          <w:highlight w:val="none"/>
          <w:lang w:val="en-US"/>
        </w:rPr>
      </w:pPr>
      <w:r>
        <w:rPr>
          <w:rFonts w:hint="eastAsia" w:hAnsi="宋体" w:cs="宋体"/>
          <w:b/>
          <w:sz w:val="24"/>
          <w:szCs w:val="24"/>
          <w:highlight w:val="none"/>
        </w:rPr>
        <w:t>5、付款时间及付款方式</w:t>
      </w:r>
      <w:r>
        <w:rPr>
          <w:rFonts w:hint="eastAsia" w:hAnsi="宋体" w:cs="宋体"/>
          <w:b/>
          <w:color w:val="000000"/>
          <w:sz w:val="24"/>
          <w:szCs w:val="24"/>
          <w:highlight w:val="none"/>
        </w:rPr>
        <w:t>：</w:t>
      </w:r>
      <w:r>
        <w:rPr>
          <w:rFonts w:hint="eastAsia" w:hAnsi="宋体" w:cs="宋体"/>
          <w:b/>
          <w:color w:val="000000"/>
          <w:sz w:val="24"/>
          <w:szCs w:val="24"/>
          <w:highlight w:val="none"/>
          <w:lang w:val="en-US" w:eastAsia="zh-CN"/>
        </w:rPr>
        <w:t>验收合格后</w:t>
      </w:r>
    </w:p>
    <w:p>
      <w:pPr>
        <w:keepNext w:val="0"/>
        <w:keepLines w:val="0"/>
        <w:pageBreakBefore w:val="0"/>
        <w:kinsoku/>
        <w:wordWrap/>
        <w:overflowPunct/>
        <w:topLinePunct w:val="0"/>
        <w:autoSpaceDE w:val="0"/>
        <w:autoSpaceDN w:val="0"/>
        <w:bidi w:val="0"/>
        <w:adjustRightInd w:val="0"/>
        <w:spacing w:line="312" w:lineRule="auto"/>
        <w:jc w:val="left"/>
        <w:rPr>
          <w:rFonts w:hint="eastAsia" w:hAnsi="宋体" w:cs="宋体"/>
          <w:sz w:val="24"/>
          <w:highlight w:val="none"/>
        </w:rPr>
      </w:pPr>
    </w:p>
    <w:p>
      <w:pPr>
        <w:pStyle w:val="2"/>
        <w:rPr>
          <w:rFonts w:hint="eastAsia"/>
        </w:rPr>
      </w:pPr>
    </w:p>
    <w:p>
      <w:pPr>
        <w:spacing w:line="400" w:lineRule="exact"/>
        <w:jc w:val="center"/>
        <w:outlineLvl w:val="0"/>
        <w:rPr>
          <w:rFonts w:hint="eastAsia" w:hAnsi="宋体" w:cs="宋体"/>
          <w:bCs/>
          <w:color w:val="auto"/>
          <w:sz w:val="36"/>
          <w:szCs w:val="36"/>
          <w:highlight w:val="none"/>
        </w:rPr>
      </w:pPr>
      <w:bookmarkStart w:id="177" w:name="_Toc23220"/>
      <w:bookmarkStart w:id="178" w:name="_Toc4248"/>
      <w:bookmarkStart w:id="179" w:name="_Toc10005"/>
      <w:bookmarkStart w:id="180" w:name="_Toc17325"/>
      <w:bookmarkStart w:id="181" w:name="_Toc30401"/>
      <w:bookmarkStart w:id="182" w:name="_Toc4616484"/>
      <w:bookmarkStart w:id="183" w:name="_Toc16577_WPSOffice_Level1"/>
      <w:bookmarkStart w:id="184" w:name="_Toc26257"/>
      <w:bookmarkStart w:id="185" w:name="_Toc2364"/>
      <w:bookmarkStart w:id="186" w:name="_Toc26815"/>
      <w:bookmarkStart w:id="187" w:name="_Toc8933"/>
      <w:r>
        <w:rPr>
          <w:rFonts w:hint="eastAsia" w:hAnsi="宋体" w:cs="宋体"/>
          <w:b/>
          <w:color w:val="auto"/>
          <w:sz w:val="36"/>
          <w:szCs w:val="36"/>
          <w:highlight w:val="none"/>
        </w:rPr>
        <w:t>第六章  谈判内容、谈判过程中</w:t>
      </w:r>
      <w:bookmarkEnd w:id="177"/>
      <w:bookmarkEnd w:id="178"/>
      <w:bookmarkEnd w:id="179"/>
      <w:bookmarkEnd w:id="180"/>
      <w:bookmarkEnd w:id="181"/>
      <w:r>
        <w:rPr>
          <w:rFonts w:hint="eastAsia" w:hAnsi="宋体" w:cs="宋体"/>
          <w:b/>
          <w:color w:val="auto"/>
          <w:sz w:val="36"/>
          <w:szCs w:val="36"/>
          <w:highlight w:val="none"/>
        </w:rPr>
        <w:t>可能实质性变动的内容</w:t>
      </w:r>
      <w:bookmarkEnd w:id="182"/>
      <w:bookmarkEnd w:id="183"/>
      <w:bookmarkEnd w:id="184"/>
      <w:bookmarkEnd w:id="185"/>
      <w:bookmarkEnd w:id="186"/>
      <w:bookmarkEnd w:id="187"/>
    </w:p>
    <w:p>
      <w:pPr>
        <w:tabs>
          <w:tab w:val="left" w:pos="7665"/>
        </w:tabs>
        <w:spacing w:line="400" w:lineRule="exact"/>
        <w:ind w:firstLine="480"/>
        <w:rPr>
          <w:rFonts w:hint="eastAsia" w:hAnsi="宋体" w:cs="宋体"/>
          <w:bCs/>
          <w:color w:val="auto"/>
          <w:sz w:val="28"/>
          <w:szCs w:val="28"/>
          <w:highlight w:val="none"/>
        </w:rPr>
      </w:pPr>
    </w:p>
    <w:p>
      <w:pPr>
        <w:tabs>
          <w:tab w:val="left" w:pos="7665"/>
        </w:tabs>
        <w:spacing w:line="400" w:lineRule="exact"/>
        <w:ind w:firstLine="480"/>
        <w:jc w:val="left"/>
        <w:rPr>
          <w:rFonts w:hint="eastAsia" w:hAnsi="宋体" w:cs="宋体"/>
          <w:b/>
          <w:color w:val="auto"/>
          <w:sz w:val="24"/>
          <w:szCs w:val="24"/>
          <w:highlight w:val="none"/>
        </w:rPr>
      </w:pPr>
      <w:r>
        <w:rPr>
          <w:rFonts w:hint="eastAsia" w:hAnsi="宋体" w:cs="宋体"/>
          <w:b/>
          <w:color w:val="auto"/>
          <w:sz w:val="24"/>
          <w:szCs w:val="24"/>
          <w:highlight w:val="none"/>
        </w:rPr>
        <w:t>一、谈判内容：</w:t>
      </w:r>
    </w:p>
    <w:p>
      <w:pPr>
        <w:tabs>
          <w:tab w:val="left" w:pos="7665"/>
        </w:tabs>
        <w:spacing w:line="400" w:lineRule="exact"/>
        <w:ind w:firstLine="480"/>
        <w:jc w:val="left"/>
        <w:rPr>
          <w:rFonts w:hint="eastAsia" w:hAnsi="宋体" w:cs="宋体"/>
          <w:bCs/>
          <w:color w:val="auto"/>
          <w:sz w:val="24"/>
          <w:szCs w:val="24"/>
          <w:highlight w:val="none"/>
        </w:rPr>
      </w:pPr>
      <w:r>
        <w:rPr>
          <w:rFonts w:hint="eastAsia" w:hAnsi="宋体" w:cs="宋体"/>
          <w:bCs/>
          <w:color w:val="auto"/>
          <w:sz w:val="24"/>
          <w:szCs w:val="24"/>
          <w:highlight w:val="none"/>
        </w:rPr>
        <w:t>1. 供应商提供的采购标的价格。</w:t>
      </w:r>
    </w:p>
    <w:p>
      <w:pPr>
        <w:tabs>
          <w:tab w:val="left" w:pos="7665"/>
        </w:tabs>
        <w:spacing w:line="400" w:lineRule="exact"/>
        <w:ind w:firstLine="480"/>
        <w:jc w:val="left"/>
        <w:rPr>
          <w:rFonts w:hint="eastAsia" w:hAnsi="宋体" w:cs="宋体"/>
          <w:bCs/>
          <w:color w:val="auto"/>
          <w:sz w:val="24"/>
          <w:szCs w:val="24"/>
          <w:highlight w:val="none"/>
        </w:rPr>
      </w:pPr>
      <w:r>
        <w:rPr>
          <w:rFonts w:hint="eastAsia" w:hAnsi="宋体" w:cs="宋体"/>
          <w:bCs/>
          <w:color w:val="auto"/>
          <w:sz w:val="24"/>
          <w:szCs w:val="24"/>
          <w:highlight w:val="none"/>
        </w:rPr>
        <w:t>2. 相关专利、专有技术、商务等情况说明。</w:t>
      </w:r>
    </w:p>
    <w:p>
      <w:pPr>
        <w:tabs>
          <w:tab w:val="left" w:pos="7665"/>
        </w:tabs>
        <w:spacing w:line="400" w:lineRule="exact"/>
        <w:ind w:firstLine="480"/>
        <w:jc w:val="left"/>
        <w:rPr>
          <w:rFonts w:hint="eastAsia" w:hAnsi="宋体" w:cs="宋体"/>
          <w:bCs/>
          <w:color w:val="auto"/>
          <w:sz w:val="24"/>
          <w:szCs w:val="24"/>
          <w:highlight w:val="none"/>
        </w:rPr>
      </w:pPr>
      <w:r>
        <w:rPr>
          <w:rFonts w:hint="eastAsia" w:hAnsi="宋体" w:cs="宋体"/>
          <w:bCs/>
          <w:color w:val="auto"/>
          <w:sz w:val="24"/>
          <w:szCs w:val="24"/>
          <w:highlight w:val="none"/>
        </w:rPr>
        <w:t>3. 合同主要条款及价格商定情况。</w:t>
      </w:r>
    </w:p>
    <w:p>
      <w:pPr>
        <w:tabs>
          <w:tab w:val="left" w:pos="7665"/>
        </w:tabs>
        <w:spacing w:line="400" w:lineRule="exact"/>
        <w:ind w:firstLine="480"/>
        <w:jc w:val="left"/>
        <w:rPr>
          <w:rFonts w:hint="eastAsia" w:hAnsi="宋体" w:cs="宋体"/>
          <w:b/>
          <w:color w:val="auto"/>
          <w:sz w:val="24"/>
          <w:szCs w:val="24"/>
          <w:highlight w:val="none"/>
        </w:rPr>
      </w:pPr>
      <w:r>
        <w:rPr>
          <w:rFonts w:hint="eastAsia" w:hAnsi="宋体" w:cs="宋体"/>
          <w:b/>
          <w:color w:val="auto"/>
          <w:sz w:val="24"/>
          <w:szCs w:val="24"/>
          <w:highlight w:val="none"/>
        </w:rPr>
        <w:t>二、谈判过程中可能实质性变动的内容：</w:t>
      </w:r>
    </w:p>
    <w:p>
      <w:pPr>
        <w:tabs>
          <w:tab w:val="left" w:pos="7665"/>
        </w:tabs>
        <w:spacing w:line="400" w:lineRule="exact"/>
        <w:ind w:firstLine="480"/>
        <w:jc w:val="left"/>
        <w:rPr>
          <w:rFonts w:hint="eastAsia" w:hAnsi="宋体" w:cs="宋体"/>
          <w:bCs/>
          <w:color w:val="auto"/>
          <w:sz w:val="24"/>
          <w:szCs w:val="24"/>
          <w:highlight w:val="none"/>
        </w:rPr>
      </w:pPr>
      <w:r>
        <w:rPr>
          <w:rFonts w:hint="eastAsia" w:hAnsi="宋体" w:cs="宋体"/>
          <w:bCs/>
          <w:color w:val="auto"/>
          <w:sz w:val="24"/>
          <w:szCs w:val="24"/>
          <w:highlight w:val="none"/>
        </w:rPr>
        <w:t>1．供应商报价</w:t>
      </w:r>
    </w:p>
    <w:p>
      <w:pPr>
        <w:tabs>
          <w:tab w:val="left" w:pos="7665"/>
        </w:tabs>
        <w:spacing w:line="400" w:lineRule="exact"/>
        <w:ind w:firstLine="480"/>
        <w:jc w:val="left"/>
        <w:rPr>
          <w:rFonts w:hint="eastAsia" w:hAnsi="宋体" w:cs="宋体"/>
          <w:bCs/>
          <w:color w:val="auto"/>
          <w:sz w:val="24"/>
          <w:szCs w:val="24"/>
          <w:highlight w:val="none"/>
        </w:rPr>
      </w:pPr>
      <w:r>
        <w:rPr>
          <w:rFonts w:hint="eastAsia" w:hAnsi="宋体" w:cs="宋体"/>
          <w:bCs/>
          <w:color w:val="auto"/>
          <w:sz w:val="24"/>
          <w:szCs w:val="24"/>
          <w:highlight w:val="none"/>
        </w:rPr>
        <w:t>2．采购需求中的技术、商务、服务要求以及合同草案条款等。实质性变动</w:t>
      </w:r>
    </w:p>
    <w:p>
      <w:pPr>
        <w:tabs>
          <w:tab w:val="left" w:pos="7665"/>
        </w:tabs>
        <w:spacing w:line="400" w:lineRule="exact"/>
        <w:ind w:firstLine="480"/>
        <w:jc w:val="left"/>
        <w:rPr>
          <w:rFonts w:hint="eastAsia" w:hAnsi="宋体" w:cs="宋体"/>
          <w:bCs/>
          <w:color w:val="auto"/>
          <w:sz w:val="24"/>
          <w:szCs w:val="24"/>
          <w:highlight w:val="none"/>
        </w:rPr>
      </w:pPr>
      <w:r>
        <w:rPr>
          <w:rFonts w:hint="eastAsia" w:hAnsi="宋体" w:cs="宋体"/>
          <w:bCs/>
          <w:color w:val="auto"/>
          <w:sz w:val="24"/>
          <w:szCs w:val="24"/>
          <w:highlight w:val="none"/>
        </w:rPr>
        <w:t>的内容，须经谈判小组中的采购人代表确认。</w:t>
      </w:r>
    </w:p>
    <w:p>
      <w:pPr>
        <w:tabs>
          <w:tab w:val="left" w:pos="7665"/>
        </w:tabs>
        <w:spacing w:line="400" w:lineRule="exact"/>
        <w:ind w:firstLine="480"/>
        <w:jc w:val="left"/>
        <w:rPr>
          <w:rFonts w:hint="eastAsia" w:hAnsi="宋体" w:cs="宋体"/>
          <w:bCs/>
          <w:color w:val="auto"/>
          <w:sz w:val="24"/>
          <w:szCs w:val="24"/>
          <w:highlight w:val="none"/>
        </w:rPr>
      </w:pPr>
    </w:p>
    <w:p>
      <w:pPr>
        <w:tabs>
          <w:tab w:val="left" w:pos="7665"/>
        </w:tabs>
        <w:spacing w:line="400" w:lineRule="exact"/>
        <w:ind w:firstLine="480"/>
        <w:jc w:val="center"/>
        <w:outlineLvl w:val="0"/>
        <w:rPr>
          <w:rFonts w:hint="eastAsia" w:hAnsi="宋体" w:cs="宋体"/>
          <w:b/>
          <w:bCs/>
          <w:color w:val="auto"/>
          <w:sz w:val="36"/>
          <w:szCs w:val="36"/>
          <w:highlight w:val="none"/>
        </w:rPr>
      </w:pPr>
      <w:r>
        <w:rPr>
          <w:rFonts w:hint="eastAsia" w:hAnsi="宋体" w:cs="宋体"/>
          <w:bCs/>
          <w:color w:val="auto"/>
          <w:sz w:val="24"/>
          <w:szCs w:val="24"/>
          <w:highlight w:val="none"/>
        </w:rPr>
        <w:t>注：由采购人代表在谈判现场认定。</w:t>
      </w:r>
      <w:r>
        <w:rPr>
          <w:rFonts w:hint="eastAsia" w:hAnsi="宋体" w:cs="宋体"/>
          <w:b/>
          <w:color w:val="auto"/>
          <w:sz w:val="32"/>
          <w:szCs w:val="32"/>
          <w:highlight w:val="none"/>
        </w:rPr>
        <w:br w:type="page"/>
      </w:r>
      <w:bookmarkEnd w:id="41"/>
      <w:bookmarkEnd w:id="42"/>
      <w:bookmarkEnd w:id="43"/>
      <w:bookmarkEnd w:id="44"/>
      <w:bookmarkEnd w:id="45"/>
      <w:bookmarkStart w:id="188" w:name="_Toc24160"/>
      <w:bookmarkStart w:id="189" w:name="_Toc13885"/>
      <w:bookmarkStart w:id="190" w:name="_Toc8917"/>
      <w:bookmarkStart w:id="191" w:name="_Toc23994"/>
      <w:bookmarkStart w:id="192" w:name="_Toc3740"/>
      <w:bookmarkStart w:id="193" w:name="_Toc4616485"/>
      <w:bookmarkStart w:id="194" w:name="_Toc8965"/>
      <w:bookmarkStart w:id="195" w:name="_Toc25356"/>
      <w:bookmarkStart w:id="196" w:name="_Toc19997_WPSOffice_Level1"/>
      <w:bookmarkStart w:id="197" w:name="_Toc15373"/>
      <w:bookmarkStart w:id="198" w:name="_Toc1190"/>
      <w:r>
        <w:rPr>
          <w:rFonts w:hint="eastAsia" w:hAnsi="宋体" w:cs="宋体"/>
          <w:b/>
          <w:bCs/>
          <w:color w:val="auto"/>
          <w:sz w:val="36"/>
          <w:szCs w:val="36"/>
          <w:highlight w:val="none"/>
        </w:rPr>
        <w:t>第七章  响应文件格式</w:t>
      </w:r>
      <w:bookmarkEnd w:id="188"/>
      <w:bookmarkEnd w:id="189"/>
      <w:bookmarkEnd w:id="190"/>
      <w:bookmarkEnd w:id="191"/>
      <w:bookmarkEnd w:id="192"/>
      <w:bookmarkEnd w:id="193"/>
      <w:bookmarkEnd w:id="194"/>
      <w:bookmarkEnd w:id="195"/>
      <w:bookmarkEnd w:id="196"/>
      <w:bookmarkEnd w:id="197"/>
      <w:bookmarkEnd w:id="198"/>
    </w:p>
    <w:p>
      <w:pPr>
        <w:rPr>
          <w:rFonts w:hint="eastAsia" w:hAnsi="宋体" w:cs="宋体"/>
          <w:b/>
          <w:color w:val="auto"/>
          <w:sz w:val="32"/>
          <w:szCs w:val="32"/>
          <w:highlight w:val="none"/>
        </w:rPr>
      </w:pPr>
    </w:p>
    <w:p>
      <w:pPr>
        <w:jc w:val="left"/>
        <w:rPr>
          <w:rFonts w:hint="eastAsia" w:hAnsi="宋体" w:cs="宋体"/>
          <w:color w:val="auto"/>
          <w:sz w:val="24"/>
          <w:highlight w:val="none"/>
        </w:rPr>
      </w:pPr>
      <w:r>
        <w:rPr>
          <w:rFonts w:hint="eastAsia" w:hAnsi="宋体" w:cs="宋体"/>
          <w:color w:val="auto"/>
          <w:sz w:val="24"/>
          <w:highlight w:val="none"/>
        </w:rPr>
        <w:t xml:space="preserve">    一、本章所制响应文件格式，除格式中明确将该格式作为实质性要求的，一律不具有强制性，但是，供应商响应文件相关资料和本章所制格式不一致的，谈判小组将在评分时以响应文件不规范予以扣分处理。</w:t>
      </w:r>
    </w:p>
    <w:p>
      <w:pPr>
        <w:ind w:firstLine="480" w:firstLineChars="200"/>
        <w:rPr>
          <w:rFonts w:hint="eastAsia" w:hAnsi="宋体" w:cs="宋体"/>
          <w:color w:val="auto"/>
          <w:sz w:val="24"/>
          <w:highlight w:val="none"/>
        </w:rPr>
      </w:pPr>
      <w:r>
        <w:rPr>
          <w:rFonts w:hint="eastAsia" w:hAnsi="宋体" w:cs="宋体"/>
          <w:color w:val="auto"/>
          <w:sz w:val="24"/>
          <w:highlight w:val="none"/>
        </w:rPr>
        <w:t>二、本章所制响应文件格式有关表格中的备注栏，由供应商根据自身响应情况作解</w:t>
      </w:r>
    </w:p>
    <w:p>
      <w:pPr>
        <w:rPr>
          <w:rFonts w:hint="eastAsia" w:hAnsi="宋体" w:cs="宋体"/>
          <w:color w:val="auto"/>
          <w:sz w:val="24"/>
          <w:highlight w:val="none"/>
        </w:rPr>
      </w:pPr>
      <w:r>
        <w:rPr>
          <w:rFonts w:hint="eastAsia" w:hAnsi="宋体" w:cs="宋体"/>
          <w:color w:val="auto"/>
          <w:sz w:val="24"/>
          <w:highlight w:val="none"/>
        </w:rPr>
        <w:t>释性说明，不作为必填项。（如果供应商响应文件中已经去掉备注而无其他解释性说明，则视为完全理解并同意备注中的要求）</w:t>
      </w:r>
    </w:p>
    <w:p>
      <w:pPr>
        <w:ind w:firstLine="480" w:firstLineChars="200"/>
        <w:rPr>
          <w:rFonts w:hint="eastAsia" w:hAnsi="宋体" w:cs="宋体"/>
          <w:color w:val="auto"/>
          <w:sz w:val="24"/>
          <w:highlight w:val="none"/>
        </w:rPr>
      </w:pPr>
      <w:r>
        <w:rPr>
          <w:rFonts w:hint="eastAsia" w:hAnsi="宋体" w:cs="宋体"/>
          <w:color w:val="auto"/>
          <w:sz w:val="24"/>
          <w:highlight w:val="none"/>
        </w:rPr>
        <w:t>三、本章所制响应文件格式中需要填写的相关内容事项，可能会与本采购项目无关，在不改变响应文件原义、不影响本项目采购需求的情况下，供应商可以不予填写，但应当注明。</w:t>
      </w:r>
    </w:p>
    <w:p>
      <w:pPr>
        <w:rPr>
          <w:rFonts w:hint="eastAsia" w:hAnsi="宋体" w:cs="宋体"/>
          <w:color w:val="auto"/>
          <w:sz w:val="24"/>
          <w:highlight w:val="none"/>
        </w:rPr>
      </w:pPr>
      <w:r>
        <w:rPr>
          <w:rFonts w:hint="eastAsia" w:hAnsi="宋体" w:cs="宋体"/>
          <w:color w:val="auto"/>
          <w:sz w:val="24"/>
          <w:highlight w:val="none"/>
        </w:rPr>
        <w:t xml:space="preserve">    四、本章格式如为多页的，无须逐页盖章。</w:t>
      </w:r>
    </w:p>
    <w:p>
      <w:pPr>
        <w:jc w:val="center"/>
        <w:rPr>
          <w:rFonts w:hint="eastAsia" w:hAnsi="宋体" w:cs="宋体"/>
          <w:b/>
          <w:color w:val="auto"/>
          <w:sz w:val="32"/>
          <w:szCs w:val="32"/>
          <w:highlight w:val="none"/>
        </w:rPr>
      </w:pPr>
    </w:p>
    <w:p>
      <w:pPr>
        <w:jc w:val="center"/>
        <w:rPr>
          <w:rFonts w:hint="eastAsia" w:hAnsi="宋体" w:cs="宋体"/>
          <w:b/>
          <w:color w:val="auto"/>
          <w:sz w:val="32"/>
          <w:szCs w:val="32"/>
          <w:highlight w:val="none"/>
        </w:rPr>
      </w:pPr>
    </w:p>
    <w:p>
      <w:pPr>
        <w:jc w:val="center"/>
        <w:rPr>
          <w:rFonts w:hint="eastAsia" w:hAnsi="宋体" w:cs="宋体"/>
          <w:b/>
          <w:color w:val="auto"/>
          <w:sz w:val="32"/>
          <w:szCs w:val="32"/>
          <w:highlight w:val="none"/>
        </w:rPr>
      </w:pPr>
    </w:p>
    <w:p>
      <w:pPr>
        <w:jc w:val="center"/>
        <w:rPr>
          <w:rFonts w:hint="eastAsia" w:hAnsi="宋体" w:cs="宋体"/>
          <w:b/>
          <w:color w:val="auto"/>
          <w:sz w:val="32"/>
          <w:szCs w:val="32"/>
          <w:highlight w:val="none"/>
        </w:rPr>
      </w:pPr>
    </w:p>
    <w:p>
      <w:pPr>
        <w:jc w:val="center"/>
        <w:rPr>
          <w:rFonts w:hint="eastAsia" w:hAnsi="宋体" w:cs="宋体"/>
          <w:b/>
          <w:color w:val="auto"/>
          <w:sz w:val="32"/>
          <w:szCs w:val="32"/>
          <w:highlight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jc w:val="both"/>
    </w:pPr>
    <w:r>
      <w:rPr>
        <w:rFonts w:hint="eastAsia" w:hAnsi="宋体" w:cs="宋体"/>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16DB06"/>
    <w:multiLevelType w:val="singleLevel"/>
    <w:tmpl w:val="8D16DB06"/>
    <w:lvl w:ilvl="0" w:tentative="0">
      <w:start w:val="1"/>
      <w:numFmt w:val="decimal"/>
      <w:lvlText w:val="%1."/>
      <w:lvlJc w:val="left"/>
      <w:pPr>
        <w:tabs>
          <w:tab w:val="left" w:pos="312"/>
        </w:tabs>
      </w:pPr>
    </w:lvl>
  </w:abstractNum>
  <w:abstractNum w:abstractNumId="1">
    <w:nsid w:val="8E325CC6"/>
    <w:multiLevelType w:val="singleLevel"/>
    <w:tmpl w:val="8E325CC6"/>
    <w:lvl w:ilvl="0" w:tentative="0">
      <w:start w:val="9"/>
      <w:numFmt w:val="decimal"/>
      <w:lvlText w:val="%1."/>
      <w:lvlJc w:val="left"/>
      <w:pPr>
        <w:tabs>
          <w:tab w:val="left" w:pos="312"/>
        </w:tabs>
      </w:pPr>
    </w:lvl>
  </w:abstractNum>
  <w:abstractNum w:abstractNumId="2">
    <w:nsid w:val="D75E92DA"/>
    <w:multiLevelType w:val="singleLevel"/>
    <w:tmpl w:val="D75E92DA"/>
    <w:lvl w:ilvl="0" w:tentative="0">
      <w:start w:val="2"/>
      <w:numFmt w:val="decimal"/>
      <w:lvlText w:val="%1."/>
      <w:lvlJc w:val="left"/>
      <w:pPr>
        <w:tabs>
          <w:tab w:val="left" w:pos="312"/>
        </w:tabs>
      </w:pPr>
    </w:lvl>
  </w:abstractNum>
  <w:abstractNum w:abstractNumId="3">
    <w:nsid w:val="FCB8517B"/>
    <w:multiLevelType w:val="singleLevel"/>
    <w:tmpl w:val="FCB8517B"/>
    <w:lvl w:ilvl="0" w:tentative="0">
      <w:start w:val="1"/>
      <w:numFmt w:val="decimal"/>
      <w:lvlText w:val="%1."/>
      <w:lvlJc w:val="left"/>
      <w:pPr>
        <w:tabs>
          <w:tab w:val="left" w:pos="312"/>
        </w:tabs>
      </w:pPr>
    </w:lvl>
  </w:abstractNum>
  <w:abstractNum w:abstractNumId="4">
    <w:nsid w:val="14B4E7F3"/>
    <w:multiLevelType w:val="singleLevel"/>
    <w:tmpl w:val="14B4E7F3"/>
    <w:lvl w:ilvl="0" w:tentative="0">
      <w:start w:val="3"/>
      <w:numFmt w:val="chineseCounting"/>
      <w:suff w:val="nothing"/>
      <w:lvlText w:val="%1．"/>
      <w:lvlJc w:val="left"/>
      <w:rPr>
        <w:rFonts w:hint="eastAsia"/>
      </w:rPr>
    </w:lvl>
  </w:abstractNum>
  <w:abstractNum w:abstractNumId="5">
    <w:nsid w:val="1D6190D4"/>
    <w:multiLevelType w:val="singleLevel"/>
    <w:tmpl w:val="1D6190D4"/>
    <w:lvl w:ilvl="0" w:tentative="0">
      <w:start w:val="1"/>
      <w:numFmt w:val="decimal"/>
      <w:lvlText w:val="(%1)"/>
      <w:lvlJc w:val="left"/>
      <w:pPr>
        <w:tabs>
          <w:tab w:val="left" w:pos="312"/>
        </w:tabs>
      </w:pPr>
    </w:lvl>
  </w:abstractNum>
  <w:abstractNum w:abstractNumId="6">
    <w:nsid w:val="2EE16D75"/>
    <w:multiLevelType w:val="singleLevel"/>
    <w:tmpl w:val="2EE16D75"/>
    <w:lvl w:ilvl="0" w:tentative="0">
      <w:start w:val="4"/>
      <w:numFmt w:val="chineseCounting"/>
      <w:suff w:val="nothing"/>
      <w:lvlText w:val="%1、"/>
      <w:lvlJc w:val="left"/>
      <w:rPr>
        <w:rFonts w:hint="eastAsia"/>
      </w:rPr>
    </w:lvl>
  </w:abstractNum>
  <w:abstractNum w:abstractNumId="7">
    <w:nsid w:val="351C7086"/>
    <w:multiLevelType w:val="singleLevel"/>
    <w:tmpl w:val="351C7086"/>
    <w:lvl w:ilvl="0" w:tentative="0">
      <w:start w:val="1"/>
      <w:numFmt w:val="decimal"/>
      <w:suff w:val="nothing"/>
      <w:lvlText w:val="（%1）"/>
      <w:lvlJc w:val="left"/>
    </w:lvl>
  </w:abstractNum>
  <w:abstractNum w:abstractNumId="8">
    <w:nsid w:val="6B8FB485"/>
    <w:multiLevelType w:val="singleLevel"/>
    <w:tmpl w:val="6B8FB485"/>
    <w:lvl w:ilvl="0" w:tentative="0">
      <w:start w:val="1"/>
      <w:numFmt w:val="decimal"/>
      <w:lvlText w:val="%1."/>
      <w:lvlJc w:val="left"/>
      <w:pPr>
        <w:tabs>
          <w:tab w:val="left" w:pos="312"/>
        </w:tabs>
        <w:ind w:left="105" w:firstLine="0"/>
      </w:pPr>
    </w:lvl>
  </w:abstractNum>
  <w:num w:numId="1">
    <w:abstractNumId w:val="6"/>
  </w:num>
  <w:num w:numId="2">
    <w:abstractNumId w:val="1"/>
  </w:num>
  <w:num w:numId="3">
    <w:abstractNumId w:val="7"/>
  </w:num>
  <w:num w:numId="4">
    <w:abstractNumId w:val="2"/>
  </w:num>
  <w:num w:numId="5">
    <w:abstractNumId w:val="5"/>
  </w:num>
  <w:num w:numId="6">
    <w:abstractNumId w:val="0"/>
  </w:num>
  <w:num w:numId="7">
    <w:abstractNumId w:val="4"/>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36578C"/>
    <w:rsid w:val="032733C4"/>
    <w:rsid w:val="0BA62AD7"/>
    <w:rsid w:val="11910FF3"/>
    <w:rsid w:val="2417359A"/>
    <w:rsid w:val="2ED82B08"/>
    <w:rsid w:val="2FA64632"/>
    <w:rsid w:val="3AE36F95"/>
    <w:rsid w:val="3BF85C98"/>
    <w:rsid w:val="3C9D7E8B"/>
    <w:rsid w:val="47DC754B"/>
    <w:rsid w:val="51471981"/>
    <w:rsid w:val="5536578C"/>
    <w:rsid w:val="707B34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sz w:val="34"/>
      <w:lang w:val="en-US" w:eastAsia="zh-CN" w:bidi="ar-SA"/>
    </w:rPr>
  </w:style>
  <w:style w:type="paragraph" w:styleId="3">
    <w:name w:val="heading 1"/>
    <w:basedOn w:val="1"/>
    <w:next w:val="1"/>
    <w:qFormat/>
    <w:uiPriority w:val="0"/>
    <w:pPr>
      <w:keepNext/>
      <w:keepLines/>
      <w:spacing w:before="340" w:after="330" w:line="578" w:lineRule="auto"/>
      <w:outlineLvl w:val="0"/>
    </w:pPr>
    <w:rPr>
      <w:rFonts w:ascii="Times New Roman"/>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kern w:val="2"/>
      <w:sz w:val="32"/>
      <w:szCs w:val="32"/>
    </w:rPr>
  </w:style>
  <w:style w:type="paragraph" w:styleId="5">
    <w:name w:val="heading 3"/>
    <w:basedOn w:val="1"/>
    <w:next w:val="6"/>
    <w:qFormat/>
    <w:uiPriority w:val="0"/>
    <w:pPr>
      <w:keepNext/>
      <w:keepLines/>
      <w:spacing w:before="260" w:after="260" w:line="416" w:lineRule="auto"/>
      <w:outlineLvl w:val="2"/>
    </w:pPr>
    <w:rPr>
      <w:rFonts w:ascii="Times New Roman"/>
      <w:b/>
      <w:bCs/>
      <w:kern w:val="2"/>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Times New Roman"/>
      <w:kern w:val="2"/>
      <w:sz w:val="21"/>
      <w:szCs w:val="24"/>
    </w:rPr>
  </w:style>
  <w:style w:type="paragraph" w:styleId="6">
    <w:name w:val="Normal Indent"/>
    <w:basedOn w:val="1"/>
    <w:next w:val="7"/>
    <w:qFormat/>
    <w:uiPriority w:val="0"/>
    <w:pPr>
      <w:ind w:firstLine="420" w:firstLineChars="200"/>
    </w:pPr>
    <w:rPr>
      <w:rFonts w:ascii="Times New Roman"/>
      <w:kern w:val="2"/>
      <w:sz w:val="21"/>
      <w:szCs w:val="24"/>
    </w:rPr>
  </w:style>
  <w:style w:type="paragraph" w:customStyle="1" w:styleId="7">
    <w:name w:val="首行缩进"/>
    <w:basedOn w:val="1"/>
    <w:qFormat/>
    <w:uiPriority w:val="0"/>
    <w:pPr>
      <w:spacing w:after="50" w:afterLines="50" w:line="300" w:lineRule="auto"/>
      <w:ind w:firstLine="200" w:firstLineChars="200"/>
    </w:pPr>
    <w:rPr>
      <w:szCs w:val="24"/>
    </w:rPr>
  </w:style>
  <w:style w:type="paragraph" w:styleId="8">
    <w:name w:val="Body Text Indent"/>
    <w:basedOn w:val="1"/>
    <w:qFormat/>
    <w:uiPriority w:val="0"/>
    <w:pPr>
      <w:ind w:firstLine="630"/>
    </w:pPr>
    <w:rPr>
      <w:rFonts w:ascii="Times New Roman"/>
      <w:kern w:val="2"/>
      <w:sz w:val="32"/>
    </w:rPr>
  </w:style>
  <w:style w:type="paragraph" w:styleId="9">
    <w:name w:val="Plain Text"/>
    <w:basedOn w:val="1"/>
    <w:qFormat/>
    <w:uiPriority w:val="0"/>
    <w:pPr>
      <w:autoSpaceDE w:val="0"/>
      <w:autoSpaceDN w:val="0"/>
      <w:adjustRightInd w:val="0"/>
    </w:pPr>
    <w:rPr>
      <w:rFonts w:hAnsi="Tms Rmn"/>
      <w:sz w:val="21"/>
    </w:rPr>
  </w:style>
  <w:style w:type="paragraph" w:styleId="10">
    <w:name w:val="footer"/>
    <w:basedOn w:val="1"/>
    <w:qFormat/>
    <w:uiPriority w:val="0"/>
    <w:pPr>
      <w:tabs>
        <w:tab w:val="center" w:pos="4153"/>
        <w:tab w:val="right" w:pos="8306"/>
      </w:tabs>
      <w:snapToGrid w:val="0"/>
      <w:jc w:val="left"/>
    </w:pPr>
    <w:rPr>
      <w:rFonts w:ascii="Times New Roman"/>
      <w:kern w:val="2"/>
      <w:sz w:val="18"/>
    </w:rPr>
  </w:style>
  <w:style w:type="paragraph" w:styleId="11">
    <w:name w:val="header"/>
    <w:basedOn w:val="1"/>
    <w:qFormat/>
    <w:uiPriority w:val="0"/>
    <w:pPr>
      <w:pBdr>
        <w:bottom w:val="single" w:color="auto" w:sz="6" w:space="1"/>
      </w:pBdr>
      <w:tabs>
        <w:tab w:val="center" w:pos="4153"/>
        <w:tab w:val="right" w:pos="8306"/>
      </w:tabs>
      <w:snapToGrid w:val="0"/>
      <w:jc w:val="center"/>
    </w:pPr>
    <w:rPr>
      <w:rFonts w:ascii="Times New Roman"/>
      <w:kern w:val="2"/>
      <w:sz w:val="18"/>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WPSOffice手动目录 1"/>
    <w:qFormat/>
    <w:uiPriority w:val="0"/>
    <w:rPr>
      <w:rFonts w:ascii="Times New Roman" w:hAnsi="Times New Roman" w:eastAsia="宋体" w:cs="Times New Roman"/>
      <w:lang w:val="en-US" w:eastAsia="zh-CN" w:bidi="ar-SA"/>
    </w:rPr>
  </w:style>
  <w:style w:type="paragraph" w:customStyle="1" w:styleId="16">
    <w:name w:val="正文首行缩进两字符"/>
    <w:basedOn w:val="1"/>
    <w:qFormat/>
    <w:uiPriority w:val="0"/>
    <w:pPr>
      <w:spacing w:line="360" w:lineRule="auto"/>
      <w:ind w:firstLine="200" w:firstLineChars="200"/>
    </w:pPr>
  </w:style>
  <w:style w:type="paragraph" w:customStyle="1" w:styleId="17">
    <w:name w:val="Normal_6"/>
    <w:qFormat/>
    <w:uiPriority w:val="0"/>
    <w:pPr>
      <w:spacing w:before="120" w:after="240"/>
      <w:jc w:val="both"/>
    </w:pPr>
    <w:rPr>
      <w:rFonts w:ascii="Calibri" w:hAnsi="Calibri" w:eastAsia="Calibri" w:cs="Times New Roman"/>
      <w:sz w:val="22"/>
      <w:szCs w:val="22"/>
      <w:lang w:val="ru-RU" w:eastAsia="en-US" w:bidi="ar-SA"/>
    </w:rPr>
  </w:style>
  <w:style w:type="paragraph" w:customStyle="1" w:styleId="18">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19">
    <w:name w:val="Normal"/>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20">
    <w:name w:val="正文3"/>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2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2021-07-12T03:27:00Z</dcterms:created>
  <dc:creator>✨</dc:creator>
  <cp:lastModifiedBy>✨</cp:lastModifiedBy>
  <dcterms:modified xsi:type="dcterms:W3CDTF">2021-09-13T03:13:21Z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D640BEBF8FC9474BA7DF8583CFC7D050</vt:lpwstr>
  </property>
</Properties>
</file>